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https://www.cnmc.es/expedientes/c113420</w:t>
      </w:r>
    </w:p>
    <w:p>
      <w:r>
        <w:t>Pages translated : 6</w:t>
      </w:r>
    </w:p>
    <w:p/>
    <w:p>
      <w:r>
        <w:rPr>
          <w:b/>
        </w:rPr>
        <w:t>[Pages 1–3]</w:t>
      </w:r>
    </w:p>
    <w:p>
      <w:r>
        <w:t xml:space="preserve">RESOLUTION  </w:t>
        <w:br/>
        <w:t xml:space="preserve">FILE C/1134/20 MOORING &amp; PORT SERVICES, S.L. / CEMESA AMARRES BARCELONA, S.A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July 27, 2021  </w:t>
        <w:br/>
        <w:t xml:space="preserve">The Competition Chamber of the National Commission on Markets and Competition, with the composition expressed, pursuant to Article 58 of Law 15/2007, of July 3, on Competition Defense (hereinafter LDC), has issued a resolution in file C/1134/20 MOORING &amp; PORT SERVICES, S.L. / CEMESA AMARRES BARCELONA, S.A., consisting of the creation of a joint venture with full functions, AMARRES DE BARCELONA S.L. JV, with a 50% stake from MOORING and CEMESA.  </w:t>
        <w:br/>
        <w:t xml:space="preserve">BACKGROUND  </w:t>
        <w:br/>
        <w:t xml:space="preserve">1. On November 3, 2020, notification was received at the National Commission on Markets and Competition regarding the concentration consisting of the creation of a joint venture with full functions, AMARRES DE BARCELONA S.L. JV, with a 50% stake from MOORING and CEMESA, which gave rise to file C/1134/20 of the CNMC.  </w:t>
        <w:br/>
        <w:t xml:space="preserve">2. In accordance with Article 57.1 of Law 15/2007, of July 3, on Competition Defense (hereinafter, LDC), the Competition Directorate formed a file and prepared the corresponding report on the operation along with a resolution proposal. The CNMC Council issued, on December 1, 2020, a resolution in the first phase, in which it agreed to initiate the second phase of the procedure in accordance with Article 57.2.c) of the aforementioned Law, considering that the aforementioned concentration operation could hinder the maintenance of effective competition in certain analyzed markets.  </w:t>
        <w:br/>
        <w:t xml:space="preserve">3. On December 4, 2020, in accordance with the provisions of Article 58.1 of the LDC and Article 65 of the Competition Defense Regulation (hereinafter RDC), approved by Royal Decree 261/2008, of February 22, the Competition Directorate sent a brief note about the concentration to those who might be affected by the referenced file. On the same day, the aforementioned brief note was published on the CNMC's website.  </w:t>
        <w:br/>
        <w:t xml:space="preserve">4. On December 4, 2020, in accordance with the provisions of Articles 58.1 of the LDC and 65.3 of the RDC, the Competition Directorate requested a mandatory, non-binding report from the competition authority of the Autonomous Community of Catalonia (the ACCO), considering that the concentration significantly affects the territory of said Autonomous Community. The response to this request for a mandatory report was made by the ACCO on January 26, 2021.  </w:t>
        <w:br/>
        <w:t xml:space="preserve">5. On December 14, 2020, the notifying parties submitted to the Competition Directorate a written proposal of subsidiary commitments to be evaluated if deemed necessary. The submission of these commitments added 15 business days to the deadline for the tacit authorization of the present operation.  </w:t>
        <w:br/>
        <w:t xml:space="preserve">6. On December 9 and 15, 2020, February 4 and 11, March 11, and March 22, 2021, the Competition Directorate made information requests to third parties in accordance with the provisions of Article 55.6 of the LDC, which, pursuant to Article 37.1.b) of the LDC, suspended the maximum deadlines for resolving the reference procedure.  </w:t>
        <w:br/>
        <w:t xml:space="preserve">7. Likewise, on April 26, 2021, the Competition Directorate made an information request to MOORING and CEMESA, in accordance with the provisions of Article 55.5 of the LDC, which, pursuant to Article 37.2.b) of the LDC, suspended the maximum deadlines for resolving the reference procedure.  </w:t>
        <w:br/>
        <w:t xml:space="preserve">8. After successive suspensions of the maximum deadline for resolution due to information requests to the notifying parties and third parties, pursuant to Articles 37.1.b) and 37.2.b) of the LDC, with the response of May 14, 2021, the computation of the deadline for issuing a resolution regarding the reference file was resumed for the last time.  </w:t>
        <w:br/>
        <w:t xml:space="preserve">9. On June 11, 2021, the Competition Directorate prepared a statement of facts, applying Article 58.2 of the LDC, which included the possible obstacles to competition arising from the concentration and was notified on that date to the interested parties so that they could submit allegations within 10 days.  </w:t>
        <w:br/>
        <w:t xml:space="preserve">10. On June 25, 2021, pursuant to the provisions of Article 59 of the LDC, the notifying parties submitted a proposal of commitments aimed at resolving the obstacles to maintaining effective competition that could arise from the notified concentration operation. In accordance with the provisions of Article 59.2 of the LDC, the submission of these commitments extended the deadline for issuing and notifying the Resolution of the reference file by 15 business days.  </w:t>
        <w:br/>
        <w:t xml:space="preserve">11. On June 28, 2021, in accordance with the stipulations of Articles 39.1 and 59.3 of the LDC, the Competition Directorate sent the notifying parties' proposal of commitments to various agents present in some of the markets affected by the concentration operation, in order for them to assess its adequacy to resolve the possible obstacles to competition detected and, if applicable, propose possible alternative commitments, while the deadlines for resolving the reference file remained suspended.  </w:t>
        <w:br/>
        <w:t xml:space="preserve">12. The companies that responded to the information request regarding the assessment of the commitments presented by the notifying parties were the Port Authority of Barcelona (APB); Balearia Eurolíneas Marítimas, S.A., Bergé Marítima, S.L.; CMA – CGM; Costa Crociere, S.P.A.; Grimaldi Logística España, S.A.; H. de José Mª Masiques, S.A.; Marítima del Mediterráneo, S.A.; Mediterranean Shipping Company España, S.L.; Neptune Barcelona, S.A.; and TUI España Turismo, S.L.U.  </w:t>
        <w:br/>
        <w:t xml:space="preserve">13. On July 19, 2021, the notifying parties submitted a new and final version of commitments to the Competition Directorate.  </w:t>
        <w:br/>
        <w:t xml:space="preserve">14. On July 23, the Competition Directorate submitted its proposal report to the CNMC Council, in accordance with the provisions of Article 58 of Law 15/2007, of July 3, on Competition Defense.  </w:t>
        <w:br/>
        <w:t xml:space="preserve">15. The interested parties in this file are:  </w:t>
        <w:br/>
        <w:t xml:space="preserve">- MOORING &amp; PORT SERVICES, S.L.  </w:t>
        <w:br/>
        <w:t xml:space="preserve">- CEMESA AMARRES BARCELONA, S.A.  </w:t>
        <w:br/>
        <w:t xml:space="preserve">LEGAL GROUNDS  </w:t>
        <w:br/>
        <w:t>First.- In accordance with Article 58.4 of the LDC, based on the definitive resolution proposal from the Competition Directorate, the Competition Chamber will adopt, in the second phase, the decision in which it may: a) authorize the concentration; b) condition the authorization of the concentration on compliance with certain commitments proposed by the notifying parties or conditions; c) prohibit the concentration; or d) agree to archive the proceedings in the cases provided for in the Law.</w:t>
      </w:r>
    </w:p>
    <w:p>
      <w:r>
        <w:rPr>
          <w:b/>
        </w:rPr>
        <w:t>[Pages 4–6]</w:t>
      </w:r>
    </w:p>
    <w:p>
      <w:r>
        <w:t xml:space="preserve">Second. - In accordance with the provisions of Article 59 of the LDC, in order to resolve the obstacles to maintaining effective competition that could arise from the notified concentration operation, the notifying parties submitted, on June 25, 2021, a proposal of commitments (non-confidential version, pages 2211 – 2215).  </w:t>
        <w:br/>
        <w:t xml:space="preserve">On June 28, 2021, the Competition Directorate launched a market test to the clients in the market for mooring and unmooring services at the Port of Barcelona, to the notifying parties, and to the Port Authority of Barcelona to assess the commitments presented.  </w:t>
        <w:br/>
        <w:t xml:space="preserve">Following the responses from the market test, the notifying party submitted a new proposal of commitments (non-confidential version, pages 2352 – 2355) on July 19, 2021, addressing the concerns of the operators consulted in the market test and the Competition Directorate.  </w:t>
        <w:br/>
        <w:t xml:space="preserve">In compliance with the provisions of Article 69.7 of the RDC, this final proposal of commitments has been included in Annex I of the proposal report submitted by the Competition Directorate, and is as follows:  </w:t>
        <w:br/>
        <w:t xml:space="preserve">(Non-confidential, pages 2352 – 2355, CEMESA and MOORING) “The parties in the projected concentration, Cemesa Amarres Barcelona, S.A. and Mooring &amp; Port Services, S.L (the “Parties”), commit, in relation to the activity of providing mooring services at the Port of Barcelona, not to worsen the commercial conditions and not to increase the existing prices prior to the concentration. The prices may be justifiably updated annually based on the cost impact of the percentage increase in wages resulting from the applicable national mooring sector collective agreement each year. This commitment in the described terms will apply to both ongoing contracts and their renewals during the validity of this commitment, remaining in effect for five years from this authorization.”  </w:t>
        <w:br/>
        <w:t xml:space="preserve">The notifying parties commit to submit to the CNMC an annual report of the prices applied, as well as a copy of the contracts that are renewed to allow for periodic verification of the commitment regarding the prices applied. The commitment presented by the notifying parties is transcribed below:  </w:t>
        <w:br/>
        <w:t xml:space="preserve">(Non-confidential, pages 2352 – 2355, CEMESA and MOORING) “To allow for periodic verification of the commitment, the Parties will submit to the CNMC within the first fifteen days of each calendar year, a report detailing the prices applied and confidential copies of the contracts renewed in the immediately preceding year.”  </w:t>
        <w:br/>
        <w:t xml:space="preserve">Third. - This Competition Chamber, having reviewed the processed file and analyzed the report on the operation, agrees with the assessment of the Competition Directorate included in the proposed resolution submitted and considers that the set of commitments proposed by the notifying party, attached to the proposal report, is sufficient and proportionate to compensate for the risks of hindering effective competition arising from the concentration operation MOORING PORT SERVICES, S.L./ CEMESA AMARRES DE BARCELONA, S.A.  </w:t>
        <w:br/>
        <w:t xml:space="preserve">Fourth. - Regarding the resulting market share from the operation in the market for providing mooring and unmooring services at the Port of Barcelona, the resulting entity will hold a clear dominant position in that market, so any conduct that constitutes an abuse of that position, through the imposition of excessive prices, the unjustified restriction of access to the services provided, the application of discriminatory conditions, or the granting of exclusive discounts, among others, is subject to analysis under Article 2 of the LDC and, where applicable, Article 102 of the TFEU.  </w:t>
        <w:br/>
        <w:t xml:space="preserve">Therefore, in light of the cited legal provisions and those of general application, the Competition Chamber of the National Commission on Markets and Competition,  </w:t>
        <w:br/>
        <w:t xml:space="preserve">HAS RESOLVED  </w:t>
        <w:br/>
        <w:t xml:space="preserve">First. In accordance with Article 58.4b) of Law 15/2007, of July 3, on Competition Defense, to condition the authorization of the concentration on compliance with the commitments presented by MOORING and CEMESA on July 19, 2021.  </w:t>
        <w:br/>
        <w:t xml:space="preserve">Second. In accordance with the provisions of Article 58.6 of the LDC, this resolution will be executive when any of the situations provided for in that article occur.  </w:t>
        <w:br/>
        <w:t xml:space="preserve">Third. The non-compliance with the provisions of this resolution will be considered a very serious infringement according to the provisions of Article 62.4.c) of the LDC.  </w:t>
        <w:br/>
        <w:t xml:space="preserve">Fourth. By virtue of the provisions of Article 35.2.c) of the LDC, the monitoring of this Resolution is entrusted to the Competition Directorate.  </w:t>
        <w:br/>
        <w:t xml:space="preserve">This resolution shall be communicated to the Competition Directorate and to the First Vice President of the Government and Minister of Economic Affairs and Digital Transformation, as provided in Article 58.5 of the LDC.  </w:t>
        <w:br/>
        <w:t>Likewise, it shall be notified to the interested parties, informing them that this Resolution will not be effective, nor executive, nor will it conclude the administrative procedure if none of the two situations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