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https://www.cnmc.es/expedientes/c113520</w:t>
      </w:r>
    </w:p>
    <w:p>
      <w:r>
        <w:t>Pages translated : 2</w:t>
      </w:r>
    </w:p>
    <w:p/>
    <w:p>
      <w:r>
        <w:rPr>
          <w:b/>
        </w:rPr>
        <w:t>[Pages 1–2]</w:t>
      </w:r>
    </w:p>
    <w:p>
      <w:r>
        <w:t>RESOLUTION</w:t>
        <w:br/>
        <w:t>CASE FILE C/1135/20 THE JORDAN COMPANY / POTTERS</w:t>
        <w:br/>
        <w:t>COMPETITION CHAMBER</w:t>
      </w:r>
    </w:p>
    <w:p>
      <w:r>
        <w:t>President</w:t>
        <w:br/>
        <w:t>Ms. Cani Fernández Vicién</w:t>
      </w:r>
    </w:p>
    <w:p>
      <w:r>
        <w:t>Counselors</w:t>
        <w:br/>
        <w:t>Ms. María Ortiz Aguilar</w:t>
        <w:br/>
        <w:t>Ms. María Pilar Canedo Arrillaga</w:t>
        <w:br/>
        <w:t>Mr. Carlos Aguilar Paredes</w:t>
        <w:br/>
        <w:t>Mr. Josep Maria Salas Prat</w:t>
      </w:r>
    </w:p>
    <w:p>
      <w:r>
        <w:t>Secretary of the Council</w:t>
        <w:br/>
        <w:t>Mr. Joaquim Hortalà i Vallvé</w:t>
      </w:r>
    </w:p>
    <w:p>
      <w:r>
        <w:t>In Madrid, November 17, 2020</w:t>
      </w:r>
    </w:p>
    <w:p>
      <w:r>
        <w:t>The Competition Chamber has analyzed the merger case file processed in accordance with Law 15/2007, of July 3, on the Defense of Competition, consisting of the acquisition by THE JORDAN COMPANY, L.P. (TJC) of exclusive control over POTTERS BALLOTINI ACQUISITION GMBH, POTTERS HOLDINGS GP, LTD., POTTERS HOLDINGS, L.P., POTTERS INTERNATIONAL HOLDINGS S.À R.L., POTTERS NETHERLANDS HOLDINGS I C.V., PQ HOLDINGS AUSTRALIA PTY LIMITED, and POTTERS LEVERAGED LENDER LLC (jointly referred to as POTTERS). According to the report and proposal submitted by the Directorate of Competition, the Competition Chamber has resolved, in application of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the non-compete clause, the limitation regarding the holding of shares for exclusively financial investment purposes (regardless of the percentage of participation in the share capital) will not be considered a necessary and ancillary restriction for the operation and, therefore, will be subject to the general regulations applicable to agreements between companies. All of this 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