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https://www.cnmc.es/expedientes/c113620</w:t>
      </w:r>
    </w:p>
    <w:p>
      <w:r>
        <w:t>Pages translated : 2</w:t>
      </w:r>
    </w:p>
    <w:p/>
    <w:p>
      <w:r>
        <w:rPr>
          <w:b/>
        </w:rPr>
        <w:t>[Pages 1–2]</w:t>
      </w:r>
    </w:p>
    <w:p>
      <w:r>
        <w:t>RESOLUTION</w:t>
        <w:br/>
        <w:t>CASE FILE C/1136/20 BUILDING MATERIALS VENTURES / COMPAÑIA ESPAÑOLA AISLAMIENTOS</w:t>
        <w:br/>
        <w:t>COMPETITION CHAMBER</w:t>
      </w:r>
    </w:p>
    <w:p>
      <w:r>
        <w:t>President</w:t>
        <w:br/>
        <w:t>Ms. Cani Fernández Vicién</w:t>
      </w:r>
    </w:p>
    <w:p>
      <w:r>
        <w:t>Counselors</w:t>
        <w:br/>
        <w:t>Ms. María Ortiz Aguilar</w:t>
        <w:br/>
        <w:t>Ms. María Pilar Canedo Arrillaga</w:t>
        <w:br/>
        <w:t>Mr. Carlos Aguilar Paredes</w:t>
        <w:br/>
        <w:t>Mr. Josep Maria Salas Prat</w:t>
      </w:r>
    </w:p>
    <w:p>
      <w:r>
        <w:t>Secretary of the Council</w:t>
        <w:br/>
        <w:t>Mr. Joaquim Hortalà i Vallvé</w:t>
      </w:r>
    </w:p>
    <w:p>
      <w:r>
        <w:t>In Madrid, November 24, 2020</w:t>
      </w:r>
    </w:p>
    <w:p>
      <w:r>
        <w:t>The Competition Chamber has analyzed the merger file processed in accordance with Law 15/2007, of July 3, on the Defense of Competition, consisting of the acquisition by ABAC SOLUTIONS (SCA) SICAR (ABAC), through its subsidiary BUILDING MATERIALS VENTURES S.A. (BUILDING), of 70% of the share capital of the companies COMPAÑÍA ESPAÑOLA DE AISLAMIENTOS, S.A. (AISLAMIENTOS), LA INSTALADORA DE SISTEMAS Y AISLAMIENTOS, S.L. (INSTALADORA) and BRICUM PROFESIONAL, S.L. (BRICUM) and their respective subsidiaries. According to the report and proposal submitted by the Directorate of Competition, the Competition Chamber has resolved, in application of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non-competition and non-solicitation agreements, any duration exceeding two years is not considered ancillary to the merger operation and is subject to the regulations on agreements between companies. Likewise, concerning the non-competition agreement, the limitation regarding the holding of shares for exclusively financial investment purposes is not considered ancillary, and is subject to the regulations on agreements between companies. All of this 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