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https://www.cnmc.es/expedientes/c113720</w:t>
      </w:r>
    </w:p>
    <w:p>
      <w:r>
        <w:t>Pages translated : 1</w:t>
      </w:r>
    </w:p>
    <w:p/>
    <w:p>
      <w:r>
        <w:rPr>
          <w:b/>
        </w:rPr>
        <w:t>[Pages 1–1]</w:t>
      </w:r>
    </w:p>
    <w:p>
      <w:r>
        <w:t xml:space="preserve">RESOLUTION  </w:t>
        <w:br/>
        <w:t xml:space="preserve">CASE FILE C/1137/20 ASTERION / AXION  </w:t>
        <w:br/>
        <w:t xml:space="preserve">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In Madrid, December 9, 2020</w:t>
      </w:r>
    </w:p>
    <w:p>
      <w:r>
        <w:t>The Competition Chamber has analyzed the merger case file processed in accordance with Law 15/2007, of July 3, on the Defense of Competition, consisting of the acquisition of exclusive control by Alhambra Holdco Limited, a company ultimately controlled by Asterión Industrial Partners, SGEIC, S.A. (ASTERION) of 100% of the share capital of Axión Infraestructuras de Telecomunicaciones, S.A.U. (AXION) through a purchase agreement signed with Atalaya Lux Holdco S.À R.L (the Seller), an indirect holder of AXION.</w:t>
      </w:r>
    </w:p>
    <w:p>
      <w:r>
        <w:t>In accordance with the report and proposal submitted by the Directorate of Competition, the Competition Chamber has resolved, applying Article 57.2.a) of the aforementioned Law 15/2007, of July 3, to authorize the aforementioned merger operation.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