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https://www.cnmc.es/expedientes/c114120</w:t>
      </w:r>
    </w:p>
    <w:p>
      <w:r>
        <w:t>Pages translated : 2</w:t>
      </w:r>
    </w:p>
    <w:p/>
    <w:p>
      <w:r>
        <w:rPr>
          <w:b/>
        </w:rPr>
        <w:t>[Pages 1–2]</w:t>
      </w:r>
    </w:p>
    <w:p>
      <w:r>
        <w:t>RESOLUTION</w:t>
        <w:br/>
        <w:t>CASE FILE C/1141/20 GLENDOWER / IBERMATICA</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9, 2020</w:t>
        <w:br/>
        <w:t>The Competition Chamber has analyzed the merger case file processed in accordance with Law 15/2007, of July 3, on the Defense of Competition, consisting of the acquisition by GLENDOWER CAPITAL, LLP (GLENDOWER) of exclusive control over IBERMATICA, S.A. (IBERMATICA) through the acquisition of 54.02% of the shares in the share capital of the latter company from funds of ProA Capital de Inversiones S.G.E.C.R., S.A. and Fortuni Asesores, Sociedad Civil. In accordance with the report and proposal submitted by the Competition Directorate, the Competition Chamber has resolved, applying Article 57.2.a) of the aforementioned Law 15/2007, of July 3, to authorize the aforementioned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confidentiality clause will not be regarded as a necessary and ancillary restriction to the operation and, therefore,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