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https://www.cnmc.es/expedientes/c114220</w:t>
      </w:r>
    </w:p>
    <w:p>
      <w:r>
        <w:t>Pages translated : 2</w:t>
      </w:r>
    </w:p>
    <w:p/>
    <w:p>
      <w:r>
        <w:rPr>
          <w:b/>
        </w:rPr>
        <w:t>[Pages 1–2]</w:t>
      </w:r>
    </w:p>
    <w:p>
      <w:r>
        <w:t>RESOLUTION</w:t>
        <w:br/>
        <w:t>CASE FILE C/1142/20 RDM / PAPRINSA / ONDUPACART / COPLASA / FERGERDELL</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December 9, 2020</w:t>
      </w:r>
    </w:p>
    <w:p>
      <w:r>
        <w:t>The Competition Chamber has analyzed the merger file processed in accordance with Law 15/2007, of July 3, on the Defense of Competition, consisting of the acquisition of exclusive control of Papelera del Principado, S.A. (hereinafter, PAPRINSA), Ondupacart, S.A. (hereinafter, ONDUPACART), Cogeneració Del Pla, S.A. (hereinafter, COPLASA) and Fergerdell, S.L. (hereinafter, FERGERDELL) by Reno de Medici S.p.A. (hereinafter, RDM). In accordance with the report and proposal submitted by the Directorate of Competition, the Competition Chamber has resolved, applying Article 57.2.a) of the aforementioned Law 15/2007, of July 3, to authorize the aforementioned merger operation.</w:t>
      </w:r>
    </w:p>
    <w:p>
      <w:r>
        <w:t>It is also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non-compete clause should be excluded from the authorization to the extent that its application exceeds the territories in which the seller offered its products prior to this Operation, not being considered ancillary to the merger operation, and therefore such restriction is subject to the regulations on agreements between companies.</w:t>
      </w:r>
    </w:p>
    <w:p>
      <w:r>
        <w:t>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