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https://www.cnmc.es/expedientes/c114320</w:t>
      </w:r>
    </w:p>
    <w:p>
      <w:r>
        <w:t>Pages translated : 2</w:t>
      </w:r>
    </w:p>
    <w:p/>
    <w:p>
      <w:r>
        <w:rPr>
          <w:b/>
        </w:rPr>
        <w:t>[Pages 1–2]</w:t>
      </w:r>
    </w:p>
    <w:p>
      <w:r>
        <w:t>RESOLUTION</w:t>
        <w:br/>
        <w:t>CASE FILE C/1043/20 AKZO NOBEL COATINGS, S.L. / INDUSTRIAS TITAN</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February 16, 2021</w:t>
        <w:br/>
        <w:t>The Competition Chamber has analyzed the merger file processed in accordance with Law 15/2007, of July 3, on the Defense of Competition, consisting of the planned acquisition by AKZO NOBEL COATINGS, S.L. (hereinafter, ANC), part of the AKZO NOBEL Group, of the decorative coatings business and the industrial coatings business (excluding powder coatings) of the TITAN GROUP. In accordance with the report and the proposal submitted by the Directorate of Competition, the Competition Chamber has resolved, applying Article 57.2.a) of the aforementioned Law 15/2007, of July 3, to authorize the aforementioned merger operation.</w:t>
        <w:b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any limitation on the acquisition or holding of shares in a competing company for purely financial investment purposes, which does not confer directly or indirectly management functions or substantial influence in the same, will not be considered as ancillary and necessary restrictions for the operation, and regarding the content of the confidentiality clause, in terms of the geographical scope of application, any aspect that exceeds the area in which the seller offered the referenced products or services prior to the transfer. All of this in accordance with what is indicated in the aforementioned report from the Directorate of Competition.</w:t>
        <w:br/>
        <w:t>Communicate this Resolution to the Directorate of Competition of the National Commission of Markets and Competition and notify the interested party, informing them that this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