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https://www.cnmc.es/expedientes/c114420</w:t>
      </w:r>
    </w:p>
    <w:p>
      <w:r>
        <w:t>Pages translated : 1</w:t>
      </w:r>
    </w:p>
    <w:p/>
    <w:p>
      <w:r>
        <w:rPr>
          <w:b/>
        </w:rPr>
        <w:t>[Pages 1–1]</w:t>
      </w:r>
    </w:p>
    <w:p>
      <w:r>
        <w:t>RESOLUTION</w:t>
        <w:br/>
        <w:t>CASE FILE C/1144/20 CAIXABANK / BANKIA</w:t>
        <w:br/>
        <w:t>COUNCIL. COMPETITION CHAMBER</w:t>
        <w:br/>
        <w:t>President</w:t>
        <w:br/>
        <w:t>Ms. Cani Fernández Vicién</w:t>
        <w:br/>
        <w:t>Council Members</w:t>
        <w:br/>
        <w:t>Ms. María Ortiz Aguilar</w:t>
        <w:br/>
        <w:t>Ms. María Pilar Canedo Arrillaga</w:t>
        <w:br/>
        <w:t>Mr. Carlos Aguilar Paredes</w:t>
        <w:br/>
        <w:t>Mr. Josep Maria Salas Prat</w:t>
        <w:br/>
        <w:t>Secretary of the Council</w:t>
        <w:br/>
        <w:t>Mr. Joaquim Hortalà i Vallvé</w:t>
        <w:br/>
        <w:t>In Madrid, March 23, 2021</w:t>
        <w:br/>
        <w:t>The Competition Chamber has analyzed the merger case file processed in accordance with Law 15/2007, of July 3, on the Defense of Competition, consisting of the merger by absorption of BANKIA, S.A. (absorbed company) by CAIXABANK, S.A. (absorbing company). In accordance with the report and proposal submitted by the Competition Directorate, the Competition Chamber has resolved, pursuant to Article 57.2.b) of the aforementioned Law 15/2007, of July 3, to authorize the aforementioned concentration operation subject to compliance with the commitments proposed by the notifying party on March 18, 2021.</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