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https://www.cnmc.es/expedientes/c114520</w:t>
      </w:r>
    </w:p>
    <w:p>
      <w:r>
        <w:t>Pages translated : 2</w:t>
      </w:r>
    </w:p>
    <w:p/>
    <w:p>
      <w:r>
        <w:rPr>
          <w:b/>
        </w:rPr>
        <w:t>[Pages 1–2]</w:t>
      </w:r>
    </w:p>
    <w:p>
      <w:r>
        <w:t>RESOLUTION</w:t>
        <w:br/>
        <w:t>CASE FILE C/1145/20 AREAS / AUTOGRILL</w:t>
        <w:br/>
        <w:t>COMPETITION CHAMBER</w:t>
        <w:br/>
        <w:t>President</w:t>
        <w:br/>
        <w:t>Ms. María Ortiz Aguilar</w:t>
        <w:br/>
        <w:t>Counselors</w:t>
        <w:br/>
        <w:t>Ms. María Pilar Canedo Arrillaga</w:t>
        <w:br/>
        <w:t>Mr. Carlos Aguilar Paredes</w:t>
        <w:br/>
        <w:t>Mr. Josep Maria Salas Prat</w:t>
        <w:br/>
        <w:t>Secretary of the Council</w:t>
        <w:br/>
        <w:t>Mr. Joaquim Hortalà i Vallvé</w:t>
        <w:br/>
        <w:t>In Madrid, December 29, 2020</w:t>
        <w:br/>
        <w:t>The Competition Chamber has analyzed the merger file processed in accordance with Law 15/2007, of July 3, on the Defense of Competition, consisting of the acquisition by AREAS, S.A.U. (hereinafter AREAS) of 100% of the shares of AUTOGRILL IBERIA, S.L.U. (hereinafter, AUTOGRILL).</w:t>
        <w:br/>
        <w:t>In accordance with the report and proposal submitted by the Competition Directorate, the Competition Chamber has resolved, pursuant to article 57.2.b) of the aforementioned Law 15/2007, of July 3, to authorize the aforementioned merger operation subject to the fulfillment of the commitments presented by the notifier on December 11, 2020, described in sections IX and X of the proposal report of the Competition Directorate.</w:t>
        <w:br/>
        <w:t>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following will not be regarded as ancillary and necessary restrictions for the operation, and therefore will be subject to the regulations on agreements between companies: (i) regarding the geographical scope of the non-compete clause, which exceeds the area of influence of the catering services of each means of transport; (ii) concerning the temporal scope of the Confidentiality, Non-Solicitation, and Non-Compete Clauses, which exceeds the two years provided for in the Communication; (iii) regarding the material scope of the Non-Compete Clause, purely financial investments that do not confer to the partners directly or indirectly management functions or influence; and (iv) the buyer's obligation of confidentiality. All of this in accordance with what is indicated in the aforementioned proposal report of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