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https://www.cnmc.es/expedientes/c114620</w:t>
      </w:r>
    </w:p>
    <w:p>
      <w:r>
        <w:t>Pages translated : 1</w:t>
      </w:r>
    </w:p>
    <w:p/>
    <w:p>
      <w:r>
        <w:rPr>
          <w:b/>
        </w:rPr>
        <w:t>[Pages 1–1]</w:t>
      </w:r>
    </w:p>
    <w:p>
      <w:r>
        <w:t>RESOLUTION</w:t>
        <w:br/>
        <w:t>CASE FILE C/1146/20 NATURGY/UFG</w:t>
        <w:br/>
        <w:t>COMPETITION CHAMBER</w:t>
        <w:br/>
        <w:t>President</w:t>
        <w:br/>
        <w:t>Ms. Cani Fernández Vicién</w:t>
        <w:br/>
        <w:t>Counselors</w:t>
        <w:br/>
        <w:t>Ms. María Ortiz Aguilar</w:t>
        <w:br/>
        <w:t>Ms. María Pilar Canedo Arrillaga</w:t>
        <w:br/>
        <w:t>Mr. Carlos Aguilar Paredes</w:t>
        <w:br/>
        <w:t>Mr. Josep Maria Salas Prat</w:t>
        <w:br/>
        <w:t>Secretary of the Council</w:t>
        <w:br/>
        <w:t>Mr. Joaquim Hortalà i Vallvé</w:t>
        <w:br/>
        <w:t>In Madrid, December 22, 2020</w:t>
        <w:br/>
        <w:t xml:space="preserve">The Competition Chamber has analyzed the merger file processed in accordance with Law 15/2007, of July 3, on the Defense of Competition, consisting of the acquisition of exclusive control by NATURGY ENERGY GROUP, S.A. (hereinafter, "NATURGY"), of 50% of the share capital of UNIÓN FENOSA GAS, S.A. (hereinafter, "UFG"), currently owned by ENI S.p.A (hereinafter, "ENI"). In accordance with the report and proposal submitted by the Competition Directorate, the Competition Chamber has resolved, in application of Article 57.2.a) of the aforementioned Law 15/2007, of July 3, to authorize the aforementioned merger operation. </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a period of two months.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