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https://www.cnmc.es/expedientes/c114720</w:t>
      </w:r>
    </w:p>
    <w:p>
      <w:r>
        <w:t>Pages translated : 1</w:t>
      </w:r>
    </w:p>
    <w:p/>
    <w:p>
      <w:r>
        <w:rPr>
          <w:b/>
        </w:rPr>
        <w:t>[Pages 1–1]</w:t>
      </w:r>
    </w:p>
    <w:p>
      <w:r>
        <w:t>RESOLUTION</w:t>
        <w:br/>
        <w:t>CASE FILE C/1147/20 BAUER ACIERTO</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December 15, 2020</w:t>
        <w:br/>
        <w:t xml:space="preserve">The Competition Chamber has analyzed the merger case file processed in accordance with Law 15/2007, of July 3, on the Defense of Competition, consisting of the acquisition of exclusive control of Asesor Consumer Services, S.L. and Acierto Seguros Online, S.L., by Bauer OCP Holding GmbH (Bauer Media Group, Bauer). In accordance with the report and proposal submitted by the Competition Directorate, and pursuant to articles 44.d) and 57.2.e) of the aforementioned Law 15/2007, of July 3, the Competition Chamber has resolved to archive the aforementioned merger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