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https://www.cnmc.es/expedientes/c114820</w:t>
      </w:r>
    </w:p>
    <w:p>
      <w:r>
        <w:t>Pages translated : 2</w:t>
      </w:r>
    </w:p>
    <w:p/>
    <w:p>
      <w:r>
        <w:rPr>
          <w:b/>
        </w:rPr>
        <w:t>[Pages 1–2]</w:t>
      </w:r>
    </w:p>
    <w:p>
      <w:r>
        <w:t>RESOLUTION</w:t>
        <w:br/>
        <w:t>CASE FILE C/1148/20 MGA / AMIC</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December 15, 2020</w:t>
        <w:br/>
        <w:t xml:space="preserve">The Competition Chamber has analyzed the concentration file processed in accordance with Law 15/2007, of July 3, on the Defense of Competition, consisting of the acquisition by MUTUALIDAD GENERAL DE LA ABOGACÍA, MUTUALIDAD DE PREVISIÓN SOCIAL A PRIMA FIJA (hereinafter, MUTUALIDAD ABOGACÍA) of exclusive control of ASOCIACIÓN MUTUALISTA DE LA INGENIERÍA CIVIL, MUTUALIDAD DE PREVISIÓN A PRIMA FIJA, (hereinafter, AMIC) through the merger by absorption of AMIC, as the absorbed mutual society, by MUTUALIDAD ABOGACÍA, as the absorbing mutual society, with the subsequent extinction of AMIC and the bulk transfer of all its social assets to MUTUALIDAD ABOGACÍA. In accordance with the report and proposal submitted by the Competition Directorate, the Competition Chamber has resolved, under the application of Article 57.2.a) of the aforementioned Law 15/2007, of July 3, to authorize the aforementioned concentration operation. </w:t>
        <w:br/>
        <w:t xml:space="preserve">Likewise, it is appropriate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following restrictions go beyond what is reasonably required by the notified concentration operation: i) the buyer's obligation of confidentiality and, ii) regarding the temporal scope of the Confidentiality Clause, the term that exceeds the two years established by the Communication. Therefore, they will be subject to the general regulations applicable to agreements between companies. All of this in accordance with what is indicated in the aforementioned report proposal from the Competition Directorate. </w:t>
        <w:br/>
        <w:t>This Resolution shall be communicated to the Competition Directorate of the National Commission on Markets and Competition and notified to the interested party, informing them that it concludes the administrative route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