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https://www.cnmc.es/expedientes/c114920</w:t>
      </w:r>
    </w:p>
    <w:p>
      <w:r>
        <w:t>Pages translated : 2</w:t>
      </w:r>
    </w:p>
    <w:p/>
    <w:p>
      <w:r>
        <w:rPr>
          <w:b/>
        </w:rPr>
        <w:t>[Pages 1–2]</w:t>
      </w:r>
    </w:p>
    <w:p>
      <w:r>
        <w:t>RESOLUTION</w:t>
        <w:br/>
        <w:t>CASE FILE C/1149/20 NED SUPPLY LPG / CEPSA ASSETS</w:t>
        <w:br/>
        <w:t>COMPETITION CHAMBER</w:t>
        <w:br/>
        <w:t>President</w:t>
        <w:br/>
        <w:t>Ms. María Ortiz Aguilar</w:t>
        <w:br/>
        <w:t>Counselors</w:t>
        <w:br/>
        <w:t>Ms. María Pilar Canedo Arrillaga</w:t>
        <w:br/>
        <w:t>Mr. Carlos Aguilar Paredes</w:t>
        <w:br/>
        <w:t>Mr. Josep Maria Salas Prat</w:t>
        <w:br/>
        <w:t>Secretary of the Council</w:t>
        <w:br/>
        <w:t>Mr. Joaquim Hortalà i Vallvé</w:t>
        <w:br/>
        <w:t>In Barcelona, January 26, 2021</w:t>
        <w:br/>
        <w:t>The Competition Chamber has analyzed the concentration case file processed in accordance with Law 15/2007, of July 3, on the Defense of Competition, consisting of the acquisition by NED SUMINISTRO GLP, S.A.U. (hereinafter, NED), of certain distribution and supply assets of liquefied petroleum gases (hereinafter, LPG) located in various municipalities of the Principality of Asturias, Basque Country, Cantabria, and Castile and León, from CEPSA COMERCIAL PETRÓLEO, S.A.U (CEPSA). In accordance with the report and proposal submitted by the Directorate of Competition, the Competition Chamber has resolved, under Article 57.2.a) of the aforementioned Law 15/2007, of July 3, to authorize the aforementioned concentration operation.</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regarding the content of the LPG Supply Agreement between NED and CEPSA, the inclusion of an exclusivity clause in the said supply in favor of CEPSA, as well as regarding its duration, insofar as it contemplates the possibility of extending it beyond the initial period of [≤ 5] years established, everything that exceeds five (5) years is not considered ancillary or necessary for the concentration operation, and therefore is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