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https://www.cnmc.es/expedientes/c115020</w:t>
      </w:r>
    </w:p>
    <w:p>
      <w:r>
        <w:t>Pages translated : 2</w:t>
      </w:r>
    </w:p>
    <w:p/>
    <w:p>
      <w:r>
        <w:rPr>
          <w:b/>
        </w:rPr>
        <w:t>[Pages 1–2]</w:t>
      </w:r>
    </w:p>
    <w:p>
      <w:r>
        <w:t>RESOLUTION</w:t>
        <w:br/>
        <w:t>CASE FILE C/1150/20 AUXQUIMIA / BUDENHEIM</w:t>
        <w:br/>
        <w:t>COMPETITION CHAMBER</w:t>
        <w:br/>
        <w:t>President</w:t>
        <w:br/>
        <w:t>Ms. Cani Fernández Vicién</w:t>
        <w:br/>
        <w:t>Counselors</w:t>
        <w:br/>
        <w:t>Ms. María Ortiz Aguilar</w:t>
        <w:br/>
        <w:t>Ms. María Pilar Canedo Arrillaga</w:t>
        <w:br/>
        <w:t>Mr. Carlos Aguilar Paredes</w:t>
        <w:br/>
        <w:t>Mr. Josep Maria Salas Prat</w:t>
        <w:br/>
        <w:t>Secretary of the Council</w:t>
        <w:br/>
        <w:t>Mr. Joaquim Hortalà i Vallvé</w:t>
        <w:br/>
        <w:t>In Madrid, February 2, 2021</w:t>
        <w:br/>
        <w:t>The Competition Chamber has analyzed the concentration case file processed in accordance with Law 15/2007, of July 3, on the Defense of Competition, consisting of the acquisition by AUXQUIMIA, S.A.U. (hereinafter, AUXQUIMIA), of the Wildfire Business Line of BUDENHEIM IBÉRICA, S.L.U. (hereinafter, BUDENHEIM), that is, the business of research, design, development, manufacturing, marketing, and sale of specific products for fighting against wildfires, consisting of long-term retardants (“LTR” for its acronym in English) and short-term retardants (“STR” for its acronym in English). According to the report and proposal submitted by the Competition Directorate, the Competition Chamber has resolved, in application of Article 57.2.a) of the aforementioned Law 15/2007, of July 3, to authorize the aforementioned concentration operation.</w:t>
        <w:br/>
        <w:t>Likewise, it is appropriate to analyze the operation taking into account the Communication of the European Commission on restrictions directly linked to the execution of a concentration and necessary for that purpose (2005/C 56/03) and the practice of national competition authorities. This Chamber considers that, (i) with respect to the content of the non-competition clause, any limitation on the acquisition or holding of shares in a company, whether or not it competes with the acquired company, for exclusively financial investment purposes that does not confer directly or indirectly management functions or substantial influence in the competing company regardless of the percentage of participation acquired, as well as (ii) with respect to the content of the License Agreement, insofar as it refers to territorial limitations of manufacturing that reflect the territory of the transferred activity, is not necessary for the execution of the operation, goes beyond what is reasonable for the achievement of the operation and is not considered either necessary or ancillary, thus remaining subject to the regulations on agreements between companies.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