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https://www.cnmc.es/expedientes/c115220</w:t>
      </w:r>
    </w:p>
    <w:p>
      <w:r>
        <w:t>Pages translated : 2</w:t>
      </w:r>
    </w:p>
    <w:p/>
    <w:p>
      <w:r>
        <w:rPr>
          <w:b/>
        </w:rPr>
        <w:t>[Pages 1–2]</w:t>
      </w:r>
    </w:p>
    <w:p>
      <w:r>
        <w:t>RESOLUTION</w:t>
        <w:br/>
        <w:t>CASE FILE C/1152/20 TECNATOM / PROINSA / ENVIRONMENTAL MEASURES</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22, 2020</w:t>
      </w:r>
    </w:p>
    <w:p>
      <w:r>
        <w:t>The Competition Chamber has analyzed the merger case file processed in accordance with Law 15/2007, of July 3, on the Defense of Competition, consisting of the acquisition of joint control over MEDIDAS AMBIENTALES, S.L (hereinafter, MEDIDAS AMBIENTALES), by TECNATOM, S.A (hereinafter, TECNATOM), which will acquire 50 percent of its share capital from Nuclenor, S.A (hereinafter, Seller). The remaining 50 percent of the capital of MEDIDAS AMBIENTALES S.L is held by Compañía Internacional de Protección, Ingeniería y Tecnología, S.A (hereinafter, PROINSA). In accordance with the report and proposal submitted by the Directorate of Competition, the Competition Chamber has resolved, under the application of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regarding the non-compete, non-solicitation, and confidentiality clauses between TECNATOM and PROINSA, any limitation that exceeds the duration of the participation in the company or of its status as a partner of each of the parent companies goes beyond what is considered reasonable by the aforementioned Communication, and will not be considered ancillary or necessary for the operation, thus being subject to the regulations on agreements between companies. All of this 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