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https://www.cnmc.es/expedientes/c115320</w:t>
      </w:r>
    </w:p>
    <w:p>
      <w:r>
        <w:t>Pages translated : 2</w:t>
      </w:r>
    </w:p>
    <w:p/>
    <w:p>
      <w:r>
        <w:rPr>
          <w:b/>
        </w:rPr>
        <w:t>[Pages 1–2]</w:t>
      </w:r>
    </w:p>
    <w:p>
      <w:r>
        <w:t>RESOLUTION</w:t>
        <w:br/>
        <w:t>CASE FILE C/1153/20 COLUMNA CAPITAL LLP / DATAMARS S.A</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December 22, 2020</w:t>
        <w:br/>
        <w:t xml:space="preserve">The Competition Chamber has analyzed the merger case file processed in accordance with Law 15/2007, of July 3, on the Defense of Competition, consisting of the acquisition of [CONFIDENTIAL]% of shares of DATAMARS, S.A. (hereinafter, DATAMARS) by an investment holding company managed by CPL Guernsey, a subsidiary of COLUMNA CAPITAL LLP (hereinafter, COLUMNA), through a common investment vehicle "COLUMNA DATAMARS S.A.R.L" (hereinafter, COLUMNA DATAMARS). CAISSE DE DEPOT ET PLACEMENT DU QUEBEC (hereinafter, CDPQ), which currently has exclusive control of DATAMARS, will retain a [CONFIDENTIAL]% stake in its share capital. As a result of the operation, COLUMNA will have exclusive control over DATAMARS. </w:t>
        <w:br/>
        <w:t xml:space="preserve">In accordance with the report and proposal submitted by the Competition Directorate, the Competition Chamber has resolved, pursuant to Article 57.2.a) of the aforementioned Law 15/2007, of July 3, to authorize the aforementioned merger operation. </w:t>
        <w:br/>
        <w:t>Furthermore,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limitation on the acquisition or holding of shares in a competing company imposed on the buyer, as well as regarding the duration of non-competition, non-solicitation, and confidentiality clauses, anything exceeding the three (3) years established in the Communication, will not be considered ancillary or necessary for the operation, and therefore are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