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https://www.cnmc.es/expedientes/c115420</w:t>
      </w:r>
    </w:p>
    <w:p>
      <w:r>
        <w:t>Pages translated : 2</w:t>
      </w:r>
    </w:p>
    <w:p/>
    <w:p>
      <w:r>
        <w:rPr>
          <w:b/>
        </w:rPr>
        <w:t>[Pages 1–2]</w:t>
      </w:r>
    </w:p>
    <w:p>
      <w:r>
        <w:t>RESOLUTION</w:t>
        <w:br/>
        <w:t>CASE FILE C/1154/20 CARREFOUR / SUPERSOL</w:t>
        <w:br/>
        <w:t>COMPETITION CHAMBER</w:t>
      </w:r>
    </w:p>
    <w:p>
      <w:r>
        <w:t>President</w:t>
        <w:br/>
        <w:t>Ms. Cani Fernández Vicién</w:t>
      </w:r>
    </w:p>
    <w:p>
      <w:r>
        <w:t>Counselors</w:t>
        <w:br/>
        <w:t>Ms. María Ortiz Aguilar</w:t>
        <w:br/>
        <w:t>Ms. María Pilar Canedo Arrillaga</w:t>
        <w:br/>
        <w:t>Mr. Carlos Aguilar Paredes</w:t>
        <w:br/>
        <w:t>Mr. Josep Maria Salas Prat</w:t>
      </w:r>
    </w:p>
    <w:p>
      <w:r>
        <w:t>Secretary of the Council</w:t>
        <w:br/>
        <w:t>Mr. Joaquim Hortalà i Vallvé</w:t>
      </w:r>
    </w:p>
    <w:p>
      <w:r>
        <w:t>In Madrid, January 12, 2021</w:t>
      </w:r>
    </w:p>
    <w:p>
      <w:r>
        <w:t>The Competition Chamber has analyzed the concentration case file processed in accordance with Law 15/2007, of July 3, on the Defense of Competition, consisting of the direct acquisition by Centros Comerciales Carrefour S.A. (CARREFOUR) of exclusive control over Supersol Spain S.L.U. (SUPERSOL) and one of its subsidiaries, Superdistribución Ceuta, S.L.U. In accordance with the report and proposal submitted by the Competition Directorate, the Competition Chamber has resolved, in application of Article 57.2.a) of the aforementioned Law 15/2007, of July 3, to authorize the said concentration operation.</w:t>
      </w:r>
    </w:p>
    <w:p>
      <w:r>
        <w:t>Furthermore, it is necessary to analyze the operation taking into account the Communication from the European Commission on restrictions directly linked to the execution of a concentration and necessary for that purpose (2005/C 56/03) and the practice of national competition authorities. This Chamber considers that the material and temporal scope of the confidentiality clause goes beyond what is reasonably required by the notified concentration operation, and therefore they are subject to the regulations on agreements between companies. All of this in accordance with what is indicated in the aforementioned report proposal from the Competition Directorate.</w:t>
      </w:r>
    </w:p>
    <w:p>
      <w:r>
        <w:t>This Resolution shall be communicated to the Competition Directorate of the National Commission on Markets and Competition and notified to the interested party, informing them that it concludes the administrative procedure and that a contentious-administrative appeal may be filed against it before the National Court, within a period of two months.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