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https://www.cnmc.es/expedientes/c115520</w:t>
      </w:r>
    </w:p>
    <w:p>
      <w:r>
        <w:t>Pages translated : 1</w:t>
      </w:r>
    </w:p>
    <w:p/>
    <w:p>
      <w:r>
        <w:rPr>
          <w:b/>
        </w:rPr>
        <w:t>[Pages 1–1]</w:t>
      </w:r>
    </w:p>
    <w:p>
      <w:r>
        <w:t>RESOLUTION</w:t>
        <w:br/>
        <w:t>CASE FILE C/1155/20 FUNESPAÑA / ALIANZA CANARIA</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March 2, 2021</w:t>
        <w:br/>
        <w:t xml:space="preserve">The Competition Chamber has analyzed the merger case file processed in accordance with Law 15/2007, of July 3, on the Defense of Competition, consisting of the acquisition of exclusive control of FUNERARIA ALIANZA CANARIA (“ALIANZA CANARIA”) by FUNESPAÑA, S.A. In accordance with the report and proposal submitted by the Competition Directorate, the Competition Chamber has resolved, pursuant to article 57.2.a) of the aforementioned Law 15/2007, of July 3, to authorize the aforementioned merger operation. </w:t>
        <w:br/>
        <w:t xml:space="preserve">This resolution is issued without prejudice to the assessment of these facts in the sanctioning procedure initiated against FUNESPAÑA for breach of the notification obligation established in article 9 of Law 15/2007, of July 3. </w:t>
        <w:br/>
        <w:t xml:space="preserve">This Resolution shall be communicated to the Competition Directorate of the National Commission on Markets and Competition and notified to the interested party, informing them that it concludes the administrative route and that a contentious-administrative appeal may be filed against it before the National Court, within a period of two months.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