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https://www.cnmc.es/expedientes/c115720</w:t>
      </w:r>
    </w:p>
    <w:p>
      <w:r>
        <w:t>Pages translated : 2</w:t>
      </w:r>
    </w:p>
    <w:p/>
    <w:p>
      <w:r>
        <w:rPr>
          <w:b/>
        </w:rPr>
        <w:t>[Pages 1–2]</w:t>
      </w:r>
    </w:p>
    <w:p>
      <w:r>
        <w:t>RESOLUTION</w:t>
        <w:br/>
        <w:t>CASE FILE C/1157/20 CATALANA OCCIDENTE / FUNERARIA ARANGUREN</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Barcelona, January 26, 2021</w:t>
        <w:br/>
        <w:t xml:space="preserve">The Competition Chamber has analyzed the merger file processed in accordance with Law 15/2007, of July 3, on the Defense of Competition, consisting of the acquisition of exclusive control of AGUIRRE Y GARCÍA DE ANDOIN, S.L. (“FUNERARIA ARANGUREN”) by FUNERARIAS BILBAÍNA Y LA AUXILIADORA, S.L.U., a subsidiary of SEGUROS CATALANA OCCIDENTE, S.A. DE SEGUROS Y REASEGUROS (“CATALANA OCCIDENTE”). In accordance with the report and the proposal submitted by the Directorate of Competition, the Competition Chamber has resolved, applying Article 57.2.a) of the aforementioned Law 15/2007, of July 3, to authorize the aforementioned merger operation. </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the non-competition and non-solicitation clauses (in what exceeds two years) and their geographical scope (in what exceeds the area in which the seller was active) go beyond what is reasonably required by the notified merger operation, and therefore are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