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https://www.cnmc.es/expedientes/c115821</w:t>
      </w:r>
    </w:p>
    <w:p>
      <w:r>
        <w:t>Pages translated : 2</w:t>
      </w:r>
    </w:p>
    <w:p/>
    <w:p>
      <w:r>
        <w:rPr>
          <w:b/>
        </w:rPr>
        <w:t>[Pages 1–2]</w:t>
      </w:r>
    </w:p>
    <w:p>
      <w:r>
        <w:t>RESOLUTION</w:t>
        <w:br/>
        <w:t>CASE FILE C/1158/20 CIRCET IBERIA / ITETE</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January 19, 2021</w:t>
        <w:br/>
        <w:t>The Competition Chamber has analyzed the concentration file processed in accordance with Law 15/2007, of July 3, on the Defense of Competition, consisting of the acquisition of exclusive control of INSTALACIONES DE TENDIDOS TELEFÓNICOS, S.A., (ITETE) by CIRCET IBERIA, S.L.U., (CIRCET) through a purchase agreement concluded with the sellers group CASTELUS and [CONFIDENTIAL]. In accordance with the report and proposal submitted by the Competition Directorate, the Competition Chamber has resolved, under the application of Article 57.2.a) of the aforementioned Law 15/2007, of July 3, to authorize the said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the extension of non-competition and non-solicitation clauses to persons other than the sellers will not be considered a necessary and ancillary restriction for the operation, and therefore are subject to the regulations on agreements between companies. Furthermore, regarding the non-competition agreement, neither the limitation related to shares for exclusively investment purposes that do not confer control nor the restriction imposed on the seller concerning passive sales are considered ancillary, which remain subject to the general regulations applicable to agreements between companies.</w:t>
      </w:r>
    </w:p>
    <w:p>
      <w:r>
        <w:t>Finally, regarding the confidentiality agreement related to the acquired business, any duration exceeding two years is not considered ancillary to the concentration operation, and therefore is subject to the regulations on agreements between companies.</w:t>
        <w:br/>
        <w:t>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