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https://www.cnmc.es/expedientes/c116021</w:t>
      </w:r>
    </w:p>
    <w:p>
      <w:r>
        <w:t>Pages translated : 2</w:t>
      </w:r>
    </w:p>
    <w:p/>
    <w:p>
      <w:r>
        <w:rPr>
          <w:b/>
        </w:rPr>
        <w:t>[Pages 1–2]</w:t>
      </w:r>
    </w:p>
    <w:p>
      <w:r>
        <w:t>RESOLUTION</w:t>
        <w:br/>
        <w:t>CASE FILE C/1160/20 LATOUR CAPITAL / SOLVAY</w:t>
        <w:br/>
        <w:t>COMPETITION CHAMBER</w:t>
        <w:br/>
        <w:t>President</w:t>
        <w:br/>
        <w:t>Ms. Cani Fernández Vicién</w:t>
        <w:br/>
        <w:t>Counselors</w:t>
        <w:br/>
        <w:t>Ms. María Ortiz Aguilar</w:t>
        <w:br/>
        <w:t>Ms. María Pilar Canedo Arrillaga</w:t>
        <w:br/>
        <w:t>Mr. Carlos Aguilar Paredes</w:t>
        <w:br/>
        <w:t>Mr. Josep Maria Salas Prat</w:t>
        <w:br/>
        <w:t>Secretary of the Council</w:t>
        <w:br/>
        <w:t>Mr. Joaquim Hortalà i Vallvé</w:t>
        <w:br/>
        <w:t>In Madrid, January 19, 2021</w:t>
        <w:br/>
        <w:t>The Competition Chamber has analyzed the merger case file processed in accordance with Law 15/2007, of July 3, on the Defense of Competition, consisting of the acquisition of exclusive control of the companies Solvay Infra Bad Hönningen GmbH, Solvay Minerales S.A., and Solvay Persalze GmbH and all their assets by Latour Capital Management SAS through its wholly-owned subsidiary, Financière Maen. In accordance with the report and proposal submitted by the Directorate of Competition, the Competition Chamber has resolved, pursuant to Article 57.2.a) of the aforementioned Law 15/2007, of July 3, to authorize the said merger operation.</w:t>
        <w:br/>
        <w:t>Furthermore, it is necessary to analyze the operation taking into account the Communication from the European Commission on restrictions directly linked to the execution of a merger and necessary for that purpose (2005/C 56/03) and the practice of national competition authorities. This Chamber considers that the duration of supply agreements and transitional service agreements, any that exceed the five (5) years established in the Communication, are not considered necessary or ancillary to the operation, and therefore are subject to the regulations on agreements between companies. All of this in accordance with what is indicated in the aforementioned report proposal from the Directorate of Competition.</w:t>
      </w:r>
    </w:p>
    <w:p>
      <w:r>
        <w:t>This Resolution shall be communicated to the Directorate of Competition of the National Commission on Markets and Competition and notified to the interested party, informing them that it concludes the administrative process and that a contentious-administrative appeal may be filed against it before the National Court, within a period of two months.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