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https://www.cnmc.es/expedientes/c116321</w:t>
      </w:r>
    </w:p>
    <w:p>
      <w:r>
        <w:t>Pages translated : 2</w:t>
      </w:r>
    </w:p>
    <w:p/>
    <w:p>
      <w:r>
        <w:rPr>
          <w:b/>
        </w:rPr>
        <w:t>[Pages 1–2]</w:t>
      </w:r>
    </w:p>
    <w:p>
      <w:r>
        <w:t>RESOLUTION</w:t>
        <w:br/>
        <w:t>CASE FILE C/1063/20 AXA / IGUALATORIO CANTABRIA</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February 16, 2021</w:t>
      </w:r>
    </w:p>
    <w:p>
      <w:r>
        <w:t>The Competition Chamber has analyzed the concentration case file processed in accordance with Law 15/2007, of July 3, on the Defense of Competition, consisting of the acquisition by AXA Seguros Generales, S.A. de Seguros y Reaseguros ("AXA España"), of 302 out of a total of 325 registered shares (representing 92.92% of the share capital and 98% of the voting rights) of Igualatorio Médico-Quirúrgico Colegial, S.A de Seguros (“Igualatorio Cantabria”) as well as, indirectly, of the wholly-owned company Clínica Mompía, S.A.U. and Grupo Igualatorio Radiología y Diagnóstico, S.L., a company 53% owned by Igualatorio Cantabria (the “Grupo Igualatorio Cantabria”).</w:t>
      </w:r>
    </w:p>
    <w:p>
      <w:r>
        <w:t>In accordance with the report and proposal submitted by the Directorate of Competition, the Competition Chamber has resolved, under the application of Article 57.2.a) of the aforementioned Law 15/2007, of July 3, to authorize the aforementioned concentration operation.</w:t>
      </w:r>
    </w:p>
    <w:p>
      <w: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non-compete clause that goes beyond what is reasonably required by the notified concentration operation should be excluded from the authorization, insofar as such restriction is not considered ancillary or necessary for the concentration operation, and therefore will be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