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https://www.cnmc.es/expedientes/c116421</w:t>
      </w:r>
    </w:p>
    <w:p>
      <w:r>
        <w:t>Pages translated : 1</w:t>
      </w:r>
    </w:p>
    <w:p/>
    <w:p>
      <w:r>
        <w:rPr>
          <w:b/>
        </w:rPr>
        <w:t>[Pages 1–1]</w:t>
      </w:r>
    </w:p>
    <w:p>
      <w:r>
        <w:t>RESOLUTION</w:t>
        <w:br/>
        <w:t>CASE FILE C/1164/21 EDIFY / LIGIER</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February 9, 2021</w:t>
        <w:br/>
        <w:t>The Competition Chamber has analyzed the merger file processed in accordance with Law 15/2007, of July 3, on the Defense of Competition, consisting of the acquisition of exclusive control of Ligier Développement, SAS by EDIFY, S.A. EDIFY will acquire a majority stake (90%) in LIGIER. The remaining minority stake (10%) will belong to Mr. François Ligier, current executive and shareholder of the acquired company. According to the report and the proposal submitted by the Directorate of Competition, the Competition Chamber has resolved, in application of Article 57.2.a) of the aforementioned Law 15/2007, of July 3, to authorize the aforementioned merger operation. 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