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https://www.cnmc.es/expedientes/c116621</w:t>
      </w:r>
    </w:p>
    <w:p>
      <w:r>
        <w:t>Pages translated : 2</w:t>
      </w:r>
    </w:p>
    <w:p/>
    <w:p>
      <w:r>
        <w:rPr>
          <w:b/>
        </w:rPr>
        <w:t>[Pages 1–2]</w:t>
      </w:r>
    </w:p>
    <w:p>
      <w:r>
        <w:t>RESOLUTION</w:t>
        <w:br/>
        <w:t>CASE FILE C/1166/21 MEDIA MARKT SATURN / WORTEN ASSETS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February 23, 2021</w:t>
        <w:br/>
        <w:t>The Competition Chamber has analyzed the merger case file processed in accordance with Law 15/2007, of July 3, on the Defense of Competition, consisting of the acquisition by MEDIA MARKT SATURN, S.A.U. (MEDIA MARKT) of certain assets and liabilities related to 17 stores of WORTEN ESPAÑA DISTRIBUCIÓN, S.L. (WORTEN). In accordance with the report and proposal submitted by the Competition Directorate, the Competition Chamber has resolved, applying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Non-Competition Clause (the prohibition of making purely financial investments that do not confer to the partners directly or indirectly management functions or decisive influence) and the buyer's confidentiality obligation go beyond what is reasonably required by the notified merger operation, and therefore will be subject to the regulations on agreements between companies.</w:t>
        <w:br/>
        <w:t>All of this in accordance with what is indicated in the aforementioned report proposal from the Competition Directorate.</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