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https://www.cnmc.es/expedientes/c116821</w:t>
      </w:r>
    </w:p>
    <w:p>
      <w:r>
        <w:t>Pages translated : 1</w:t>
      </w:r>
    </w:p>
    <w:p/>
    <w:p>
      <w:r>
        <w:rPr>
          <w:b/>
        </w:rPr>
        <w:t>[Pages 1–1]</w:t>
      </w:r>
    </w:p>
    <w:p>
      <w:r>
        <w:t>RESOLUTION</w:t>
        <w:br/>
        <w:t>FILE NO. C/1168/20 REDEXIS / REPSOL GLP</w:t>
        <w:br/>
        <w:t>COUNCIL. 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March 16, 2021</w:t>
        <w:br/>
        <w:t>The Competition Chamber has analyzed the concentration file processed in accordance with Law 15/2007, of July 3, on the Defense of Competition, consisting of the acquisition by REDEXIS GAS, S.A. (hereinafter, REDEXIS), from REPSOL BUTANO, S.A. (hereinafter, REPSOL), of certain supply points of liquefied petroleum gases (hereinafter, LPG) channeled, along with channeled LPG supply facilities, as well as various instruments and networks associated with them, along with the LPG supply contracts signed with customers in relation to the facilities.</w:t>
        <w:br/>
        <w:t>In accordance with the report and proposal submitted by the Directorate of Competition, the Competition Chamber has resolved, under the application of Article 57.2.a) of the aforementioned Law 15/2007, of July 3, to authorize the aforementioned concentration operation.</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a period of two months.</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