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https://www.cnmc.es/expedientes/c116921</w:t>
      </w:r>
    </w:p>
    <w:p>
      <w:r>
        <w:t>Pages translated : 1</w:t>
      </w:r>
    </w:p>
    <w:p/>
    <w:p>
      <w:r>
        <w:rPr>
          <w:b/>
        </w:rPr>
        <w:t>[Pages 1–1]</w:t>
      </w:r>
    </w:p>
    <w:p>
      <w:r>
        <w:t>RESOLUTION</w:t>
        <w:br/>
        <w:t>CASE FILE C/1169/21 KERRY IBERIA TASTE &amp; NUTRITION, S.L.U. / BIOSEARCH, S.A</w:t>
        <w:br/>
        <w:t>COUNCIL. 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March 16, 2021</w:t>
        <w:br/>
        <w:t xml:space="preserve">The Competition Chamber has analyzed the merger case file processed in accordance with Law 15/2007, of July 3, on the Defense of Competition, consisting of the acquisition of exclusive control by KERRY IBERIA TASTE &amp; NUTRITION, S.L.U. (hereinafter, KERRY or the notifying party) over BIOSEARCH, S.A. (hereinafter, BIOSEARCH or the TARGET), through a voluntary public takeover bid (OPA) for the 57,699,522 shares of BIOSEARCH, representing the entirety of its share capital. In accordance with the report and proposal submitted by the Competition Directorate, the Competition Chamber has resolved, pursuant to Article 57.2.a) of the aforementioned Law 15/2007, of July 3, to authorize the aforementioned merger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