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https://www.cnmc.es/expedientes/c117021</w:t>
      </w:r>
    </w:p>
    <w:p>
      <w:r>
        <w:t>Pages translated : 2</w:t>
      </w:r>
    </w:p>
    <w:p/>
    <w:p>
      <w:r>
        <w:rPr>
          <w:b/>
        </w:rPr>
        <w:t>[Pages 1–2]</w:t>
      </w:r>
    </w:p>
    <w:p>
      <w:r>
        <w:t>RESOLUTION</w:t>
        <w:br/>
        <w:t>CASE FILE C/1170/21 SOFISPORT / GRUPO MAXAM</w:t>
        <w:br/>
        <w:t>COUNCIL. 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May 11, 2021</w:t>
        <w:br/>
        <w:t>The Competition Chamber has analyzed the merger file processed in accordance with Law 15/2007, of July 3, on the Defense of Competition, consisting of the acquisition of exclusive control of the hunting and sports shooting cartridge business and certain related assets of MaxamCorp Holding S.L. (hereinafter, Grupo MAXAM) by Sofisport S.A. (hereinafter, SOFISPORT), together with its wholly-owned subsidiaries, Nobel Sport and Cheddite France (hereinafter, collectively referred to as Grupo SOFISPORT). In accordance with the report and proposal submitted by the Directorate of Competition, the Competition Chamber has resolved, under the application of Article 57.2.b) of the aforementioned Law 15/2007, of July 3, to authorize the aforementioned concentration operation subject to the fulfillment of the commitments presented by the notifying party.</w:t>
        <w:br/>
        <w:t>Furthermore,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following restrictions will not be deemed ancillary or necessary for the operation, and are therefore subject to the regulations on agreements between companies:</w:t>
        <w:br/>
        <w:t>i. The non-compete clause regarding its duration to the extent that it exceeds two years, and its content, in any limitation on the acquisition or holding of shares in a competing company for exclusively financial investment purposes, which do not confer directly or indirectly management functions or substantial influence in it, regardless of the percentage of participation in its share capital;</w:t>
        <w:br/>
        <w:t>ii. The non-solicitation clause, concerning the protection of the seller;</w:t>
        <w:br/>
        <w:t>iii. The confidentiality clause to the extent that it exceeds the obligation of confidentiality regarding information related to the acquired business imposed on the seller;</w:t>
        <w:br/>
        <w:t>iv. The supply and service agreements that will be signed on the closing date, regarding: a) the duration of the distribution contract for Angola, to the extent that it may exceed five (5) years; and b) the nitrocellulose contract, insofar as it ensures SOFISPORT a supply of nitrocellulose on preferential terms compared to third parties, and to the extent that it may exceed five (5) years in duration.</w:t>
        <w:br/>
        <w:t>All of this in accordance with what is indicated in the aforementioned report proposal from the Directorate of Competition.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