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https://www.cnmc.es/expedientes/c117221</w:t>
      </w:r>
    </w:p>
    <w:p>
      <w:r>
        <w:t>Pages translated : 2</w:t>
      </w:r>
    </w:p>
    <w:p/>
    <w:p>
      <w:r>
        <w:rPr>
          <w:b/>
        </w:rPr>
        <w:t>[Pages 1–2]</w:t>
      </w:r>
    </w:p>
    <w:p>
      <w:r>
        <w:t>RESOLUTION</w:t>
        <w:br/>
        <w:t>CASE FILE C/1172/21 ATC - TELXIUS</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March 23, 2021</w:t>
      </w:r>
    </w:p>
    <w:p>
      <w:r>
        <w:t>The Competition Chamber has analyzed the concentration case file processed in accordance with Law 15/2007, of July 3, on the Defense of Competition, consisting of the acquisition by American Tower Corporation (ATC), through its wholly-owned subsidiary American Tower International Inc., of the European tower business of Telxius Telecom, S.A. through a share purchase transaction. In accordance with the report and proposal submitted by the Competition Directorate, the Competition Chamber has resolved, applying Article 57.2.a) of the aforementioned Law 15/2007, of July 3, to authorize the said concentration operation.</w:t>
      </w:r>
    </w:p>
    <w:p>
      <w: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as far as Spain is concerned, the service provision agreements identified in the notification, to the extent that they exceed 5 years, will be subject to the general regulations applicable to agreements between companies. All of this in accordance with what is indicated in the aforementioned report proposal from the Competition Directorate.</w:t>
      </w:r>
    </w:p>
    <w:p>
      <w:r>
        <w:t>Communicate this Resolution to the Competition Directorate of the National Commission on Markets and Competition and notify the interested party, informing them that this concludes the administrative procedure and that a contentious-administrative appeal can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