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https://www.cnmc.es/expedientes/c117321</w:t>
      </w:r>
    </w:p>
    <w:p>
      <w:r>
        <w:t>Pages translated : 2</w:t>
      </w:r>
    </w:p>
    <w:p/>
    <w:p>
      <w:r>
        <w:rPr>
          <w:b/>
        </w:rPr>
        <w:t>[Pages 1–2]</w:t>
      </w:r>
    </w:p>
    <w:p>
      <w:r>
        <w:t xml:space="preserve">RESOLUTION  </w:t>
        <w:br/>
        <w:t xml:space="preserve">CASE FILE C/1173/21 RVU / PENGUIN PORTALS  </w:t>
        <w:br/>
        <w:t xml:space="preserve">COUNCIL. COMPETITION CHAMBER  </w:t>
        <w:br/>
        <w:t xml:space="preserve">President  </w:t>
        <w:br/>
        <w:t xml:space="preserve">Ms. Cani Fernández Vicién  </w:t>
        <w:br/>
        <w:t xml:space="preserve">Council Members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Madrid, April 6, 2021</w:t>
      </w:r>
    </w:p>
    <w:p>
      <w:r>
        <w:t>The Competition Chamber has analyzed the merger case file processed in accordance with Law 15/2007, of July 3, on the Defense of Competition, consisting of the acquisition of exclusive control of PENGUIN PORTALS LIMITED, PREMINEN PRICE COMPARISON, and RASTREATOR.COM LIMITED by ZPG COMPARISON SERVICES HOLDINGS UK LIMITED (RVU). The sellers are ADMIRAL GROUP and MAPFRE ESPAÑA COMPAÑÍA DE SEGUROS Y REASEGUROS. In accordance with the report and the proposal submitted by the Directorate of Competition, the Competition Chamber has resolved, under Article 57.2.a) of the aforementioned Law 15/2007, of July 3, to authorize the said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limitation on the holding of financial investments [CONFIDENTIAL] will be subject to the general regulations applicable to agreements between companies. Likewise, regarding the information exchange clause, it is considered that, due to the scope, breadth, and non-specificity of the information exchange provided, it is not ancillary and necessary for the operation and therefore will also be subject to the general regulations applicable to agreements between companies. All of this is in accordance with what is indicated in the aforementioned report proposal from the Directorate of Competition.</w:t>
      </w:r>
    </w:p>
    <w:p>
      <w:r>
        <w:t xml:space="preserve">Communicate this Resolution to the Directorate of Competition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