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https://www.cnmc.es/expedientes/c117421</w:t>
      </w:r>
    </w:p>
    <w:p>
      <w:r>
        <w:t>Pages translated : 2</w:t>
      </w:r>
    </w:p>
    <w:p/>
    <w:p>
      <w:r>
        <w:rPr>
          <w:b/>
        </w:rPr>
        <w:t>[Pages 1–2]</w:t>
      </w:r>
    </w:p>
    <w:p>
      <w:r>
        <w:t>RESOLUTION</w:t>
        <w:br/>
        <w:t>CASE FILE C/1174/21 ACCIONA MOBILITY / SCUTUM</w:t>
        <w:br/>
        <w:t>COUNCIL. COMPETITION CHAMBER</w:t>
        <w:br/>
        <w:t>President</w:t>
        <w:br/>
        <w:t>Ms. Cani Fernández Vicién</w:t>
        <w:br/>
        <w:t>Councilors</w:t>
        <w:br/>
        <w:t>Ms. María Ortiz Aguilar</w:t>
        <w:br/>
        <w:t>Ms. María Pilar Canedo Arrillaga</w:t>
        <w:br/>
        <w:t>Mr. Carlos Aguilar Paredes</w:t>
        <w:br/>
        <w:t>Mr. Josep Maria Salas Prat</w:t>
        <w:br/>
        <w:t>Secretary of the Council</w:t>
        <w:br/>
        <w:t>Mr. Joaquim Hortalà i Vallvé</w:t>
        <w:br/>
        <w:t>In Madrid, April 6, 2021</w:t>
        <w:br/>
        <w:t>The Competition Chamber has analyzed the concentration case file processed in accordance with Law 15/2007, of July 3, on the Defense of Competition, consisting of the indirect acquisition of exclusive control of Scutum Logistic, S.L. (hereinafter, SCUTUM) by Acciona Mobility Global, S.L. (hereinafter, ACCIONA MOBILITY). In accordance with the report and proposal submitted by the Competition Directorate, the Competition Chamber has resolved, in application of Article 57.2.a) of the aforementioned Law 15/2007, of July 3, to authorize the aforementioned concentration operation.</w:t>
        <w:br/>
        <w:t>Likewise, it is necessary to analyze the operation taking into account the Communication from the European Commission on restrictions directly linked to the execution of a concentration and necessary for that purpose (2005/C 56/03) and the practice of national competition authorities. This Chamber considers that the following should be excluded from the authorization: (i) the content of the non-compete clause included in the Share Purchase Agreement regarding the limitation of the sellers' participation in the manufacturing of electric vehicles other than those currently developed and/or manufactured by the acquired entity goes beyond what is reasonable, being considered neither necessary nor ancillary to the concentration operation, and is therefore subject to the regulations on agreements between companies; (ii) the duration of the confidentiality obligations contained in the Share Purchase Agreement that affect the sellers related to the transferred business and its development, to the extent that it exceeds the three (3) years provided for in the Communication, being considered not ancillary to the concentration operation, and therefore such restrictions are subject to the regulations on agreements between companies; and (iii) the non-compete and confidentiality clauses included in the Investment and Partners Agreement, insofar as they affect minority partners who do not exercise control over SCUTUM, being considered neither necessary nor ancillary to the concentration operation, and therefore subject to the regulations on agreements between companies. All of this is in accordance with what is indicated in the aforementioned report proposal from the Competition Directorate.</w:t>
        <w:br/>
        <w:t>This Resolution shall be communicated to the Competition Directorate of the National Commission on Markets and Competition and notified to the interested party, informing them that it concludes the administrative process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