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https://www.cnmc.es/expedientes/c117621</w:t>
      </w:r>
    </w:p>
    <w:p>
      <w:r>
        <w:t>Pages translated : 1</w:t>
      </w:r>
    </w:p>
    <w:p/>
    <w:p>
      <w:r>
        <w:rPr>
          <w:b/>
        </w:rPr>
        <w:t>[Pages 1–1]</w:t>
      </w:r>
    </w:p>
    <w:p>
      <w:r>
        <w:t>RESOLUTION</w:t>
        <w:br/>
        <w:t>CASE FILE C/1176/21 CHINA THREE GORGES / WIND ROSE - CÉFIRO</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March 23, 2021</w:t>
        <w:br/>
        <w:t xml:space="preserve">The Competition Chamber has analyzed the concentration case file processed in accordance with Law 15/2007, of July 3, on the Defense of Competition, consisting of the acquisition of exclusive control of the companies Wind Rose Renewables S.L. (hereinafter, WIND ROSE) and Céfiro Energía S.L. (hereinafter CÉFIRO) by CTG Spain (hereinafter GTG SPAIN). In accordance with the report and proposal submitted by the Competition Directorate, the Competition Chamber has resolved, applying Article 57.2.a) of the aforementioned Law 15/2007, of July 3, to authorize the aforementioned concentration operation.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