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https://www.cnmc.es/expedientes/c117721</w:t>
      </w:r>
    </w:p>
    <w:p>
      <w:r>
        <w:t>Pages translated : 1</w:t>
      </w:r>
    </w:p>
    <w:p/>
    <w:p>
      <w:r>
        <w:rPr>
          <w:b/>
        </w:rPr>
        <w:t>[Pages 1–1]</w:t>
      </w:r>
    </w:p>
    <w:p>
      <w:r>
        <w:t>RESOLUTION</w:t>
        <w:br/>
        <w:t>FILE NO. C/1177/21 CCPIB / AIMCO / IG4 / IGUÁ</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April 6, 2021</w:t>
      </w:r>
    </w:p>
    <w:p>
      <w:r>
        <w:t>The Competition Chamber has analyzed the merger file processed in accordance with Law 15/2007, of July 3, on the Defense of Competition, consisting of the acquisition of joint control of the Brazilian joint venture company providing services in the comprehensive water cycle, IGUÁ SANEAMENTO S.A., by the notifying parties CCPIB, AIMCo, and IG4. In accordance with the report and proposal submitted by the Competition Directorate, the Competition Chamber has resolved, applying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