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https://www.cnmc.es/expedientes/c117921</w:t>
      </w:r>
    </w:p>
    <w:p>
      <w:r>
        <w:t>Pages translated : 2</w:t>
      </w:r>
    </w:p>
    <w:p/>
    <w:p>
      <w:r>
        <w:rPr>
          <w:b/>
        </w:rPr>
        <w:t>[Pages 1–2]</w:t>
      </w:r>
    </w:p>
    <w:p>
      <w:r>
        <w:t>RESOLUTION</w:t>
        <w:br/>
        <w:t>CASE FILE C/1179/21 BIMBO / SIRO MEDINA</w:t>
        <w:br/>
        <w:t>COUNCIL. COMPETITION CHAMBER</w:t>
        <w:br/>
        <w:t>President</w:t>
        <w:br/>
        <w:t>Ms. Cani Fernández Vicién</w:t>
        <w:br/>
        <w:t>Council Members</w:t>
        <w:br/>
        <w:t>Ms. María Ortiz Aguilar</w:t>
        <w:br/>
        <w:t>Ms. María Pilar Canedo Arrillaga</w:t>
        <w:br/>
        <w:t>Mr. Carlos Aguilar Paredes</w:t>
        <w:br/>
        <w:t>Mr. Josep Maria Salas Prat</w:t>
        <w:br/>
        <w:t>Secretary of the Council</w:t>
        <w:br/>
        <w:t>Mr. Joaquim Hortalà i Vallvé</w:t>
        <w:br/>
        <w:t>In Madrid, May 18, 2021</w:t>
      </w:r>
    </w:p>
    <w:p>
      <w:r>
        <w:t>The Competition Chamber has analyzed the merger case file processed in accordance with Law 15/2007, of July 3, on the Defense of Competition, consisting of the indirect acquisition by GRUPO BIMBO S.A.B., de C.V. (hereinafter, GB), through its subsidiary BAKERY IBERIAN INVESTMENTS, S.L.U. (hereinafter, BII), of 100% of the share capital of the company SIRO MEDINA, S.A., belonging to GRUPO SIRO. In accordance with the report and proposal submitted by the Competition Directorate, the Competition Chamber has resolved, applying Article 57.2.a) of the aforementioned Law 15/2007, of July 3, to authorize the aforementioned merger operation.</w:t>
      </w:r>
    </w:p>
    <w:p>
      <w:r>
        <w:t>Furthermore,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they will not be regarded as ancillary restrictions to the operation, thus remaining subject to the regulations on agreements between companies: i) with respect to the non-compete clause, any limitation on investment or holding any economic interest in any Competing Business in the Protected Territories for exclusively financial investment purposes that do not confer directly or indirectly management functions or substantial influence in the competing company and ii) with respect to the non-solicitation clause, regarding the duration of the restriction on the buyer, anything exceeding the two (2) years set forth in the previously mentioned Communication.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