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https://www.cnmc.es/expedientes/c118121</w:t>
      </w:r>
    </w:p>
    <w:p>
      <w:r>
        <w:t>Pages translated : 1</w:t>
      </w:r>
    </w:p>
    <w:p/>
    <w:p>
      <w:r>
        <w:rPr>
          <w:b/>
        </w:rPr>
        <w:t>[Pages 1–1]</w:t>
      </w:r>
    </w:p>
    <w:p>
      <w:r>
        <w:t>RESOLUTION</w:t>
        <w:br/>
        <w:t>CASE FILE C/1181/21 MASMOVIL / EUSKALTEL</w:t>
        <w:br/>
        <w:t>COUNCIL. COMPETITION CHAMBER</w:t>
        <w:br/>
        <w:t>President</w:t>
        <w:br/>
        <w:t>Ms. Cani Fernández Vicién</w:t>
        <w:br/>
        <w:t>Councilors</w:t>
        <w:br/>
        <w:t>Ms. María Ortiz Aguilar</w:t>
        <w:br/>
        <w:t>Ms. María Pilar Canedo Arrillaga</w:t>
        <w:br/>
        <w:t>Mr. Carlos Aguilar Paredes</w:t>
        <w:br/>
        <w:t>Mr. Josep Maria Salas Prat</w:t>
        <w:br/>
        <w:t>Council Secretary</w:t>
        <w:br/>
        <w:t>Mr. Joaquim Hortalà i Vallvé</w:t>
        <w:br/>
        <w:t>In Madrid, June 16, 2021</w:t>
        <w:br/>
        <w:t xml:space="preserve">The Competition Chamber has analyzed the concentration file processed in accordance with Law 15/2007, of July 3, on the Defense of Competition, consisting of the acquisition by Masmovil Ibercom S.A.U. (MASMOVIL) of exclusive control of Euskatel, S.A. (EUSKALTEL) through a public offer to acquire shares (OPA) representing the entirety of EUSKALTEL's capital through Kaiko Telecom, S.A.U., 100% owned by MASMOVIL. According to the report and proposal submitted by the Directorate of Competition, the Competition Chamber has resolved, in application of Article 57.2.a) of the aforementioned Law 15/2007, of July 3, to authorize the aforementioned concentration operation. </w:t>
        <w:br/>
        <w:t xml:space="preserve">This Resolution shall be communicated to the Directorate of Competition of the National Commission of Markets and Competition and notified to the interested party, informing them that it concludes the administrative procedure and that a contentious-administrative appeal may be filed against it before the National Court, within two months from the day following its notification. </w:t>
        <w:br/>
        <w:t>Alcalá 47 · 28014 Madrid – Bolivia 56 · 08018 Barcelona · Tel.: 91 4329600 / 93 6036200 · www.cnmc.es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