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https://www.cnmc.es/expedientes/c118321</w:t>
      </w:r>
    </w:p>
    <w:p>
      <w:r>
        <w:t>Pages translated : 1</w:t>
      </w:r>
    </w:p>
    <w:p/>
    <w:p>
      <w:r>
        <w:rPr>
          <w:b/>
        </w:rPr>
        <w:t>[Pages 1–1]</w:t>
      </w:r>
    </w:p>
    <w:p>
      <w:r>
        <w:t>RESOLUTION</w:t>
        <w:br/>
        <w:t>FILE NO. C/1183/21 LEVANTUR / APERTURE TRAVEL</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4, 2021</w:t>
        <w:br/>
        <w:t xml:space="preserve">The Competition Chamber has analyzed the concentration file processed in accordance with Law 15/2007, of July 3, on the Defense of Competition, consisting of the creation of a joint venture (hereinafter, JV) with full functions between Levantur S.A. (hereinafter, LEVANTUR) and Aperture Travel, S.L. (hereinafter, APERTURE). The parties will contribute, respectively, 100% of the shares of Viajes Soltour, S.A., and of Travel Agencies Management Services, S.L.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