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https://www.cnmc.es/expedientes/c118421</w:t>
      </w:r>
    </w:p>
    <w:p>
      <w:r>
        <w:t>Pages translated : 2</w:t>
      </w:r>
    </w:p>
    <w:p/>
    <w:p>
      <w:r>
        <w:rPr>
          <w:b/>
        </w:rPr>
        <w:t>[Pages 1–2]</w:t>
      </w:r>
    </w:p>
    <w:p>
      <w:r>
        <w:t>RESOLUTION</w:t>
        <w:br/>
        <w:t>CASE FILE C/1184/21 EATON CORPORATION / COBHAM MISSION</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May 4, 2021</w:t>
        <w:br/>
        <w:t xml:space="preserve">The Competition Chamber has analyzed the merger file processed in accordance with Law 15/2007, of July 3, on the Defense of Competition, consisting of the acquisition of exclusive control by Eaton Corporation PLc (hereinafter, EATON) over the following companies: COBHAM MISSION SYSTEMS WIMBORNE LIMITED, COBHAM MISSION SYSTEMS ORCHARD PARK Inc., COBHAM MISSION SYSTEMS FWB Inc., and COBHAM INDIA PRIVATE LIMITED, along with their subsidiaries jointly, COBHAM MISSIONS SYSTEMS (hereinafter, COBHAM). In accordance with the report and proposal submitted by the Competition Directorate, the Competition Chamber has resolved, under the application of Article 57.2.a) of the aforementioned Law 15/2007, of July 3, to authorize the aforementioned merger operation. </w:t>
        <w:b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non-compete clause should be excluded from the authorization insofar as it restricts the sellers from holding or acquiring shares for purely financial investment purposes that do not confer directly or indirectly management functions or substantial influence over the competing company, thus leaving such restriction subject to the regulations on agreements between companies. All of this is in accordance with what is indicated in the aforementioned report proposal from the Competition Directorate.</w:t>
        <w:br/>
        <w:t>Communicate this Resolution to the Competition Directorate of the National Commission on Markets and Competition and notify the interested party, informing them that this concludes the administrative process and that a contentious-administrative appeal can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