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https://www.cnmc.es/expedientes/c118521</w:t>
      </w:r>
    </w:p>
    <w:p>
      <w:r>
        <w:t>Pages translated : 1</w:t>
      </w:r>
    </w:p>
    <w:p/>
    <w:p>
      <w:r>
        <w:rPr>
          <w:b/>
        </w:rPr>
        <w:t>[Pages 1–1]</w:t>
      </w:r>
    </w:p>
    <w:p>
      <w:r>
        <w:t>RESOLUTION</w:t>
        <w:br/>
        <w:t>CASE FILE C/1185/21 BLACKSTONE / STARWOOD / EXTENDED STAY AMERICA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April 27, 2021</w:t>
        <w:br/>
        <w:t>The Competition Chamber has analyzed the merger case file processed in accordance with Law 15/2007, of July 3, on the Defense of Competition, consisting of the acquisition of joint control over Extended Stay America, Inc. (“ESA”) and its paired share real estate investment trust, ESH Hospitality, Inc. (“ESH Hospitality”), by Blackstone Real Estate Partners IX (BLACKSTONE) and Starwood Distressed Opportunity Fund XII Global (STARWOOD). In accordance with the report and proposal submitted by the Directorate of Competition, the Competition Chamber has resolved, under the application of Article 57.2.a) of the aforementioned Law 15/2007, of July 3, to authorize the aforementioned merger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