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https://www.cnmc.es/expedientes/c118621</w:t>
      </w:r>
    </w:p>
    <w:p>
      <w:r>
        <w:t>Pages translated : 2</w:t>
      </w:r>
    </w:p>
    <w:p/>
    <w:p>
      <w:r>
        <w:rPr>
          <w:b/>
        </w:rPr>
        <w:t>[Pages 1–2]</w:t>
      </w:r>
    </w:p>
    <w:p>
      <w:r>
        <w:t>RESOLUTION</w:t>
        <w:br/>
        <w:t>CASE FILE C/1186/21 CAPISA / ALISIO / ORONTE / HARICANA / MOLINERA / SILOS / GRANEROS LP</w:t>
        <w:br/>
        <w:t>COUNCIL. COMPETITION CHAMBER</w:t>
        <w:br/>
        <w:t>President</w:t>
        <w:br/>
        <w:t>Ms. Cani Fernández Vicién</w:t>
        <w:br/>
        <w:t>Councilors</w:t>
        <w:br/>
        <w:t>Ms. María Ortiz Aguilar</w:t>
        <w:br/>
        <w:t>Ms. María Pilar Canedo Arrillaga</w:t>
        <w:br/>
        <w:t>Mr. Carlos Aguilar Paredes</w:t>
        <w:br/>
        <w:t>Mr. Josep Maria Salas Prat</w:t>
        <w:br/>
        <w:t>Secretary of the Council</w:t>
        <w:br/>
        <w:t>Mr. Joaquim Hortalà i Vallvé</w:t>
        <w:br/>
        <w:t>In Madrid, May 4, 2021</w:t>
      </w:r>
    </w:p>
    <w:p>
      <w:r>
        <w:t>The Competition Chamber has analyzed the concentration case file processed in accordance with Law 15/2007, of July 3, on the Defense of Competition, consisting of the joint acquisition of control by Grupo Alisio Canarias Inversiones, S.A. (hereinafter, ALISIO), Oronte, S.A. (ORONTE), and Compañía Canaria de Piensos, S.A. (hereinafter, CAPISA) over the Business of Harina Molinera Schamann, S.L. (hereinafter, MOLINERA) and Harinera Canaria, S.A. (hereinafter, HARICANA); and, in the parallel creation of a joint venture (hereinafter, NEWCO) between CAPISA and HARICANA in which Graneros Las Palmas, S.A.U. (hereinafter, GRANEROS LP) and Silos Canarios, S.A.U. (hereinafter, SILOS) will be integrated, over which CAPISA will have exclusive control.</w:t>
      </w:r>
    </w:p>
    <w:p>
      <w:r>
        <w:t>In accordance with the report and proposal submitted by the Directorate of Competition, the Competition Chamber has resolved, under the application of Article 57.2.a) of the aforementioned Law 15/2007, of July 3, to authorize the aforementioned concentration operation.</w:t>
      </w:r>
    </w:p>
    <w:p>
      <w:r>
        <w:t>Furthermore, it is appropriate to analyze the operation taking into account the Communication from the European Commission on restrictions directly linked to the execution of a concentration and necessary for that purpose (2005/C 56/03) and the practice of national competition authorities. This Chamber considers that the confidentiality clause, although its duration and content are deemed reasonable for the achievement of the present operation, its geographical scope of application, in all that exceeds the area in which the seller offered the reference products or services prior to the transfer, will not be considered ancillary or necessary for the operation, thus remaining subject to the regulations on agreements between companies. All of this in accordance with what is indicated in the aforementioned report proposal from the Directorate of Competition.</w:t>
      </w:r>
    </w:p>
    <w:p>
      <w: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