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https://www.cnmc.es/expedientes/c118721</w:t>
      </w:r>
    </w:p>
    <w:p>
      <w:r>
        <w:t>Pages translated : 1</w:t>
      </w:r>
    </w:p>
    <w:p/>
    <w:p>
      <w:r>
        <w:rPr>
          <w:b/>
        </w:rPr>
        <w:t>[Pages 1–1]</w:t>
      </w:r>
    </w:p>
    <w:p>
      <w:r>
        <w:t>RESOLUTION</w:t>
        <w:br/>
        <w:t>CASE FILE C/1187/21 NEINOR/QUABIT</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May 18, 2021</w:t>
        <w:br/>
        <w:t>The Competition Chamber has analyzed the concentration case file processed in accordance with Law 15/2007, of July 3, on the Defense of Competition, consisting of the merger by absorption of QUABIT IMMOBILIARIA, S.A. (absorbed company) by NEINOR HOMES, S.A. (absorbing company), previously independent companies. In accordance with the report and proposal submitted by the Competition Directorate, the Competition Chamber has resolved, in application of article 57.2.a) of the aforementioned Law 15/2007, of July 3, to authorize the aforementioned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