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https://www.cnmc.es/expedientes/c118921</w:t>
      </w:r>
    </w:p>
    <w:p>
      <w:r>
        <w:t>Pages translated : 2</w:t>
      </w:r>
    </w:p>
    <w:p/>
    <w:p>
      <w:r>
        <w:rPr>
          <w:b/>
        </w:rPr>
        <w:t>[Pages 1–2]</w:t>
      </w:r>
    </w:p>
    <w:p>
      <w:r>
        <w:t>RESOLUTION</w:t>
        <w:br/>
        <w:t>CASE NO. 1189/21 MOËT HENNESSY / AOS ENTERPRISES / ACE OF SPADES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18, 2021</w:t>
        <w:br/>
        <w:t>The Competition Chamber has analyzed the merger case processed in accordance with Law 15/2007, of July 3, on the Defense of Competition, consisting of the acquisition by MOËT HENNESSY INC (hereinafter, MOËT HENNESSY) from AOS ENTERPRISES LLC (hereinafter, AOS ENTERPRISES) of a 50% stake in ACE OF SPADES HOLDINGS, LLC (hereinafter, ACE OF SPADES), in accordance with the Membership Interest Purchase Agreement (hereinafter, Agreement) executed on [CONFIDENTIAL]. Following the transaction, MOËT HENNESSY and AOS ENTERPRISES will exercise joint control, in the sense of competition law, over ACE OF SPADES. In accordance with the report and proposal submitted by the Competition Directorate, the Competition Chamber has resolved, pursuant to Article 57.2.a) of the aforementioned Law 15/2007, of July 3, to authorize the aforementioned merger operation.</w:t>
        <w:b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and necessary restrictions for the operation, and will therefore be subject to the regulations on agreements between companies:</w:t>
        <w:br/>
        <w:t>i. the non-compete clause, regarding the product scope, in all that exceeds the products and/or services covered by the participating company (manufacturing and marketing of champagne), as well as any limitation on the holding of stakes in competing businesses for the purposes of passive financial investment, and, in terms of its duration, to the extent that the Restriction Period could exceed the duration of the participating company;</w:t>
        <w:br/>
        <w:t>ii. the non-solicitation clause, in the event that the Restriction Period could exceed the duration of the participating company; and</w:t>
        <w:br/>
        <w:t>iii. the future distribution agreement, regarding its content, in all that exceeds the products that are part of the portfolio of the participating company (champagne), which establishes an exclusivity relationship in the distribution of the products of the participating company, as well as, in the temporal scope, what exceeds 5 years considered reasonable in the aforementioned Communication.</w:t>
        <w:br/>
        <w:t>All of this in accordance with the indications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