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https://www.cnmc.es/expedientes/c119121</w:t>
      </w:r>
    </w:p>
    <w:p>
      <w:r>
        <w:t>Pages translated : 3</w:t>
      </w:r>
    </w:p>
    <w:p/>
    <w:p>
      <w:r>
        <w:rPr>
          <w:b/>
        </w:rPr>
        <w:t>[Pages 1–3]</w:t>
      </w:r>
    </w:p>
    <w:p>
      <w:r>
        <w:t xml:space="preserve">Competition Directorate  </w:t>
        <w:br/>
        <w:t xml:space="preserve">BRIEF NOTE ON FILE C/1191/21 MEMORA / IRACHE  </w:t>
        <w:br/>
        <w:t xml:space="preserve">I. BACKGROUND  </w:t>
        <w:br/>
        <w:t xml:space="preserve">On April 28, 2021, a notification of the concentration operation consisting of the acquisition by Memora Servicios Funerarios, S.L.U (hereinafter, MEMORA) of exclusive control of the company TANATORIOS IRACHE, S.A. (hereinafter, IRACHE) and the companies in which it holds stakes was submitted to the National Commission on Markets and Competition (CNMC), which gave rise to file C/1191/21 MEMORA/IRACHE of the CNMC.  </w:t>
        <w:br/>
        <w:t xml:space="preserve">The notified operation consists of the acquisition of exclusive control by MEMORA of the company IRACHE and the companies in which it holds stakes, which are: Tanatorios Ebro S.L. (EBRO), Tanatorios Ribera Ega, S.L. (RIBERA), Maldaerreka, S.L. (MALDAERREKA), Malkorrate, S.L. (MALKORRATE), Iratán, S.L. (IRATÁN), Cemendena, S.L. (CEMENDENA), Tanatorio Ciprés, S.L. (CIPRÉS), Servicios Funerarios Artajona, S.L. (ARTAJONA) and Tanatorio Funeraria San Agustín (SAN AGUSTÍN)1.  </w:t>
        <w:br/>
        <w:t xml:space="preserve">In accordance with Article 57.1 of Law 15/2007, of July 3, on the Defense of Competition (LDC), the Competition Directorate opened a file and prepared the corresponding report on the operation along with a proposal for resolution.  </w:t>
        <w:br/>
        <w:t xml:space="preserve">The Council of the CNMC adopted, on May 11, 2021, a resolution in the first phase, agreeing to initiate the second phase of the procedure in accordance with Article 57.2 c) of the LDC, considering that the aforementioned concentration operation may hinder the maintenance of effective competition in the wholesale markets for mortuary, crematory, and cemetery services, at a local level; and, indirectly reinforce the presence in the national retail market for comprehensive funeral services.  </w:t>
        <w:br/>
        <w:t xml:space="preserve">In accordance with Article 36 of the LDC, the maximum period for issuing and notifying the resolution of the Council of the CNMC is two months in the second phase, as provided in Article 58 of the LDC, starting from the date on which the Council of the CNMC agrees to open the second phase.  </w:t>
        <w:br/>
        <w:t xml:space="preserve">2. THE PARTIES  </w:t>
        <w:br/>
        <w:t xml:space="preserve">2.1 MEMORA: is a company dedicated to providing funeral services in various regions of Spain and Portugal. Among the services provided by MEMORA are the transportation, transfer, or conveyance of corpses, the sale of coffins and other related items. MEMORA is indirectly controlled by ONTARIO TEACHERS’ PENSION PLAN (OTPP).  </w:t>
        <w:br/>
        <w:t xml:space="preserve">MEMORA operates in a large part of the Spanish geography. However, for the purposes of analyzing this operation, MEMORA's presence in the Foral Community of Navarra will be particularly relevant.  </w:t>
        <w:br/>
        <w:t xml:space="preserve">2.2 IRACHE: The acquired party is TANATORIOS IRACHE, S.A., including all its subsidiaries, which are engaged in providing funeral services and managing mortuaries, cemeteries, and crematories.  </w:t>
        <w:br/>
        <w:t>1 All these subsidiaries are 100% owned by IRACHE except ARTAJONA (55%) and SAN AGUSTÍN (94%), with IRACHE having exclusive control over them.</w:t>
      </w:r>
    </w:p>
    <w:p>
      <w:r>
        <w:t xml:space="preserve">Competition Directorate  </w:t>
        <w:br/>
        <w:t xml:space="preserve">3. RELEVANT MARKETS  </w:t>
        <w:br/>
        <w:t xml:space="preserve">The notified operation falls within the funeral services sector, in which both parties conduct their activities, and which has traditionally been considered to include funeral services, mortuary services, cremation services, and burial services. Within the funeral sector, the following product markets can be distinguished:  </w:t>
        <w:br/>
        <w:t xml:space="preserve">Funeral services markets:  </w:t>
        <w:br/>
        <w:t xml:space="preserve">• The retail market for comprehensive funeral services includes the set of services (mortuary, cemetery, cremation, or others) provided by funeral companies to individuals (relatives or close associates of the deceased), from the moment of death, directly or through death insurers.  </w:t>
        <w:br/>
        <w:t xml:space="preserve">The retail market for comprehensive funeral services is not local in nature, as the physical presence of funeral homes in the location chosen by the end customer is not necessary, allowing the contracting of any of the services committed within the framework of a comprehensive funeral service, with the owners or managers of the existing facilities in that locality, so it could be considered a provincial, regional, or even national scope.  </w:t>
        <w:br/>
        <w:t xml:space="preserve">• The wholesale markets linked to funeral facilities (mortuary, cemetery, and crematory), to the extent that, for the provision of a comprehensive service, funeral companies contract with a third party for the services they cannot provide directly in the locality chosen by the end customer, due to lacking their own means for it.  </w:t>
        <w:br/>
        <w:t>These are local markets, as they involve the provision of such services by the owners or managers of the existing facilities in the locality chosen by the end customer, with which the funeral companies providing the comprehensive funeral service not present in that locality would subcontract the service. In this sense, both the municipal scope and the area of influence of a particular municipality, a region, or a district may be considered relevant, depending on the cases.</w:t>
      </w:r>
    </w:p>
    <w:p>
      <w:r>
        <w:t xml:space="preserve">4. POTENTIAL EFFECTS OF THE OPERATION  </w:t>
        <w:br/>
        <w:t xml:space="preserve">The first-phase analysis by the CNMC allows us to conclude that the notified concentration operation is likely to have effects on competition:  </w:t>
        <w:br/>
        <w:t xml:space="preserve">• In the wholesale market for mortuary services: MEMORA would strengthen its position in areas of Navarra where it was already present (such as Mendavia and Tudela), while acquiring notable presence in areas where it was not active (Ablitas, Alsasua, Andosilla, Ansoáin, Aoiz, Artajona, Azagra, Barañáin, Baztán, Bera, Berbinza, Berriozar, Betelu, Burlada, Cadreita, Caparroso, Carcastillo, Castejón, Corella, Cortes, Elizondo, Estella, Falces, Funes, Irurtzun, Larraga, Leitza, Lekunberri, Lerín, Lesaka, Lodosa, Los Arcos, Lumbier, Marcilla, Mélida, Milagro, Murchante, Murillo del Fruto, Ochagavía, Olite, Pamplona, Peralta, Puente la Reina, Ribaforada, San Adrián, Sangüesa, Sartaguda, Sesma, Tafalla, Valtierra, Viana, and Villafranca)2.  </w:t>
        <w:br/>
        <w:t xml:space="preserve">• In the wholesale market for crematory and cemetery services, MEMORA would acquire notable presence in areas where it was not active (in crematories it would acquire 100% of the Estella and Tudela furnaces; and in cemeteries, it would acquire the public cemetery of Estella).  </w:t>
        <w:br/>
        <w:t xml:space="preserve">• In the national retail market for comprehensive funeral services, MEMORA's presence would be indirectly reinforced due to greater access to mortuary and crematory facilities it would have after the operation, specifically in the territory of Navarra. Thus, it would become the leader in the retail market of the Foral Community for comprehensive funeral services, positioning itself well above the rest of its competitors.  </w:t>
        <w:br/>
        <w:t xml:space="preserve">These competition risks will be analyzed considering operation C/1151/20 MEMORA/REKALDE, which is being analyzed in the second phase, as this operation also affects Navarra, making it necessary to analyze both operations jointly.  </w:t>
        <w:br/>
        <w:t>Furthermore, for the purposes of the provisions of Article 58.1, second paragraph, of Law 15/2007, of July 3, it has been confirmed that the operation significantly impacts the territory of the Foral Community of Navarra.</w:t>
      </w:r>
    </w:p>
    <w:p>
      <w:r>
        <w:t xml:space="preserve">5. PROPOSAL  </w:t>
        <w:br/>
        <w:t xml:space="preserve">This brief note is issued in application of Article 58 of the LDC, and is made public to inform individuals or legal entities that may be affected by the concentration operation MEMORA/IRACHE and the Council of Consumers and Users, so that they can submit their allegations within 10 days from the issuance of the aforementioned brief note.  </w:t>
        <w:br/>
        <w:t xml:space="preserve">In accordance with the provisions of Article 66.2 of the Competition Defense Regulation, approved by Royal Decree 261/2008, of February 22 (RDC), individuals or legal entities that may be affected by the concentration operation have a period of ten days to request, with justification, in accordance with the criteria established in Article 4 of Law 39/2015, of October 1, on the Common Administrative Procedure of Public Administrations, the status of interested party in this concentration control procedure.  </w:t>
        <w:br/>
        <w:t xml:space="preserve">On the other hand, it is reminded that, according to Article 39 of the LDC, the CNMC may require in the future any information it deems necessary from any individual or legal entity, in order to determine whether the notified operation hinders the maintenance of effective competition in the affected markets, without such collaboration, at its own request or at the request of the CNMC, implying the status of interested party in the procedure.  </w:t>
        <w:br/>
        <w:t xml:space="preserve">In the framework of the second phase of the reference file, in accordance with Article 10 of the LDC, the CNMC will thoroughly assess the possible obstacles posed by the MEMORA/IRACHE concentration operation for the maintenance of effective competition in the analyzed markets, which must be evaluated jointly with operation C/1151/20 MEMORA/REKALDE, which is in the second phase.  </w:t>
        <w:br/>
        <w:t>Madrid, May 10,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