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https://www.cnmc.es/expedientes/c119221</w:t>
      </w:r>
    </w:p>
    <w:p>
      <w:r>
        <w:t>Pages translated : 2</w:t>
      </w:r>
    </w:p>
    <w:p/>
    <w:p>
      <w:r>
        <w:rPr>
          <w:b/>
        </w:rPr>
        <w:t>[Pages 1–2]</w:t>
      </w:r>
    </w:p>
    <w:p>
      <w:r>
        <w:t>RESOLUTION</w:t>
        <w:br/>
        <w:t>CASE FILE C/1192/21 BME / GRUPO ISOLANA</w:t>
        <w:br/>
        <w:t>COUNCIL. COMPETITION CHAMBER</w:t>
        <w:br/>
        <w:t>President</w:t>
        <w:br/>
        <w:t>Ms. Cani Fernández Vicién</w:t>
        <w:br/>
        <w:t>Council Members</w:t>
        <w:br/>
        <w:t>Ms. María Ortiz Aguilar</w:t>
        <w:br/>
        <w:t>Ms. María Pilar Canedo Arrillaga</w:t>
        <w:br/>
        <w:t>Mr. Carlos Aguilar Paredes</w:t>
        <w:br/>
        <w:t>Mr. Josep Maria Salas Prat</w:t>
        <w:br/>
        <w:t>Secretary of the Council</w:t>
        <w:br/>
        <w:t>Mr. Joaquim Hortalà i Vallvé</w:t>
        <w:br/>
        <w:t>In Madrid, May 11, 2021</w:t>
        <w:br/>
        <w:t>The Competition Chamber has analyzed the concentration case file processed in accordance with Law 15/2007, of July 3, on the Defense of Competition, consisting of the acquisition of exclusive control of Building Materials Ventures, S.A, which in turn integrates the companies: Compañía Española de Aislamientos, S.A., La Instaladora de Sistemas y Aislamientos S.L., and La Especialista Distribuidora de Sistemas Constructivos, S.L., by BME Group Holding B.V., through its 100% subsidiary Building Materials Europe, B.V. According to the report and proposal submitted by the Competition Directorate, the Competition Chamber has resolved, in application of Article 57.2.a) of the aforementioned Law 15/2007, of July 3, to authorize the aforementioned concentration operation.</w:t>
        <w:b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non-solicitation clause in terms of its content is reasonable and necessary for the achievement of the operation, but, regarding its duration, in all that exceeds two years, it is not considered necessary or ancillary to the present operation, thus leaving said restriction subject to the regulations on agreements between companies. 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it concludes the administrative procedure and that a contentious-administrative appeal can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