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https://www.cnmc.es/expedientes/c119321</w:t>
      </w:r>
    </w:p>
    <w:p>
      <w:r>
        <w:t>Pages translated : 2</w:t>
      </w:r>
    </w:p>
    <w:p/>
    <w:p>
      <w:r>
        <w:rPr>
          <w:b/>
        </w:rPr>
        <w:t>[Pages 1–2]</w:t>
      </w:r>
    </w:p>
    <w:p>
      <w:r>
        <w:t>RESOLUTION</w:t>
        <w:br/>
        <w:t>CASE FILE C/1193/2I MIURA PRIVATE EQUITY / PROCLINIC</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May 25, 2021</w:t>
        <w:br/>
        <w:t>The Competition Chamber has analyzed the concentration case file processed in accordance with Law 15/2007, of July 3, on the Defense of Competition, consisting of the acquisition by MIURA PRIVATE EQUITY SGEIC, S.A. (MIURA PRIVATE EQUITY) of the dental product and equipment distribution business of the Raneda family. In accordance with the report and proposal submitted by the Competition Directorate, the Competition Chamber has resolved, in application of Article 57.2.a) of the aforementioned Law 15/2007, of July 3, to authorize the aforementioned concentration operation.</w:t>
        <w:b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extension of non-competition and non-solicitation clauses to individuals related to the seller by affection or family ties, the extension to the buyer of the confidentiality clause, and the temporal scope (to the extent that it exceeds two years) of the non-competition, non-solicitation, and confidentiality clauses go beyond what is reasonably required by the notified concentration operation, and therefore remain subject to the general regulations applicable to agreements between companies. Additionally, the non-competition and non-solicitation clauses to El Puente in its capacity as partners in Hunkern as set forth in the Partnership Agreement also go beyond what is reasonably required by the notified concentration operation, and therefore remain subject to the general regulations applicable to agreements between companies. All of this 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br/>
        <w:t>President Secretary of the Council</w:t>
        <w:br/>
        <w:t>Ms. Cani Fernández Vicién Mr. Joaquim Hortalà i Vallvé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