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https://www.cnmc.es/expedientes/c119421</w:t>
      </w:r>
    </w:p>
    <w:p>
      <w:r>
        <w:t>Pages translated : 1</w:t>
      </w:r>
    </w:p>
    <w:p/>
    <w:p>
      <w:r>
        <w:rPr>
          <w:b/>
        </w:rPr>
        <w:t>[Pages 1–1]</w:t>
      </w:r>
    </w:p>
    <w:p>
      <w:r>
        <w:t>RESOLUTION</w:t>
        <w:br/>
        <w:t>CASE FILE C/1194/21 UNICAJA BANCO / LIBERBANK</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Barcelona, June 29, 2021</w:t>
        <w:br/>
        <w:t xml:space="preserve">The Competition Chamber has analyzed the concentration case file processed in accordance with Law 15/2007, of July 3, on the Defense of Competition, consisting of the merger by absorption of LIBERBANK, S.A. (LIBERBANK) by UNICAJA BANCO, S.A. (UNICAJA BANCO). In accordance with the report and proposal submitted by the Competition Directorate, the Competition Chamber has resolved, in application of article 57.2.b) of the aforementioned Law 15/2007, of July 3, to authorize the aforementioned concentration operation subject to the fulfillment of the commitments presented by the notifying party on June 23, 2021.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