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https://www.cnmc.es/expedientes/c119621</w:t>
      </w:r>
    </w:p>
    <w:p>
      <w:r>
        <w:t>Pages translated : 2</w:t>
      </w:r>
    </w:p>
    <w:p/>
    <w:p>
      <w:r>
        <w:rPr>
          <w:b/>
        </w:rPr>
        <w:t>[Pages 1–2]</w:t>
      </w:r>
    </w:p>
    <w:p>
      <w:r>
        <w:t>RESOLUTION</w:t>
        <w:br/>
        <w:t>CASE FILE C/1196/21 PLENIUM/FMGPI</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May 25, 2021</w:t>
      </w:r>
    </w:p>
    <w:p>
      <w:r>
        <w:t>The Competition Chamber has analyzed the merger file processed in accordance with Law 15/2007, of July 3, on the Defense of Competition, consisting of the acquisition of exclusive control by PLENIUM PARTNERS S.L. (hereinafter, PLENIUM or the Notifying Party) of FM GREEN POWER INVESTMENTS, S.L. (hereinafter, FMGPI). Additionally, as part of the transaction, it is anticipated that PLENIUM will acquire the indirect controlling interest of FCC in the companies that provide operation and maintenance services exclusively to the Projects, specifically: (i) Villena O&amp;M, S.L.; (ii) Helios Operación y Mantenimiento, S.L. and (iii) Guzmán Energy O&amp;M, S.L. According to the report and proposal submitted by the Directorate of Competition, the Competition Chamber has resolved, in application of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regarding the duration of the transitional service provision agreement, that any period exceeding the indicated five (5) years in the Communication will not be considered accessory or necessary for the operation, thus remaining subject to the regulations on agreements between companies. All of this in accordance with the indications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President Secretary of the Council</w:t>
        <w:br/>
        <w:t>Ms. Cani Fernández Vicién Mr. Joaquim Hortalà i Vallvé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