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https://www.cnmc.es/expedientes/c119721</w:t>
      </w:r>
    </w:p>
    <w:p>
      <w:r>
        <w:t>Pages translated : 2</w:t>
      </w:r>
    </w:p>
    <w:p/>
    <w:p>
      <w:r>
        <w:rPr>
          <w:b/>
        </w:rPr>
        <w:t>[Pages 1–2]</w:t>
      </w:r>
    </w:p>
    <w:p>
      <w:r>
        <w:t>RESOLUTION</w:t>
        <w:br/>
        <w:t>CASE FILE C/1197/21 SCS 2000/ HOSPITAL JUAN CARDONA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June 8, 2021</w:t>
        <w:br/>
        <w:t>The Competition Chamber has analyzed the concentration case file processed in accordance with Law 15/2007, of July 3, on the Defense of Competition, consisting of the acquisition by SECURE CAPITAL SOLUTIONS 2000 S.L.U. of exclusive control over the hospital business of the FUNDACIÓN SANTO HOSPITAL DE CARIDAD, which is provided through the HOSPITAL JUAN CARDONA, located in Ferrol (A Coruña). In accordance with the report and proposal submitted by the Directorate of Competition, the Competition Chamber has resolved, applying Article 57.2.a) of the aforementioned Law 15/2007, of July 3, to authorize the said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non-competition and non-solicitation clauses that exceed the relevant territorial scope of the markets in which the HOSPITAL JUAN CARDONA is present are excluded from the authorization, as well as the extension to the buyer of the confidentiality clause, insofar as such restrictions are not considered ancillary to the concentration operation, and therefore remain subject to the regulations on agreements between companies. All of this in accordance with what is indicated in the aforementioned report proposal from the Directorate of Competition.</w:t>
        <w:br/>
        <w:t>Alcalá 47 · 28014 Madrid – Bolivia 56 · 08018 Barcelona · Tel.: 91 4329600 / 93 6036200 · www.cnmc.es</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