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https://www.cnmc.es/expedientes/c119821</w:t>
      </w:r>
    </w:p>
    <w:p>
      <w:r>
        <w:t>Pages translated : 1</w:t>
      </w:r>
    </w:p>
    <w:p/>
    <w:p>
      <w:r>
        <w:rPr>
          <w:b/>
        </w:rPr>
        <w:t>[Pages 1–1]</w:t>
      </w:r>
    </w:p>
    <w:p>
      <w:r>
        <w:t>RESOLUTION</w:t>
        <w:br/>
        <w:t>CASE FILE C/1198/21 OPTRUST – LOMA – ALTER / ALTER HUELVA</w:t>
        <w:br/>
        <w:t>COUNCIL. COMPETITION CHAMBER</w:t>
        <w:br/>
        <w:t>President</w:t>
        <w:br/>
        <w:t>Ms. Cani Fernández Vicién</w:t>
        <w:br/>
        <w:t>Councilors</w:t>
        <w:br/>
        <w:t>Ms. María Ortiz Aguilar</w:t>
        <w:br/>
        <w:t>Ms. María Pilar Canedo Arrillaga</w:t>
        <w:br/>
        <w:t>Mr. Carlos Aguilar Paredes</w:t>
        <w:br/>
        <w:t>Mr. Josep Maria Salas Prat</w:t>
        <w:br/>
        <w:t>Secretary of the Council</w:t>
        <w:br/>
        <w:t>Mr. Joaquim Hortalà i Vallvé</w:t>
        <w:br/>
        <w:t>In Madrid, May 25, 2021</w:t>
      </w:r>
    </w:p>
    <w:p>
      <w:r>
        <w:t>The Competition Chamber has analyzed the concentration case file processed in accordance with Law 15/2007, of July 3, on the Defense of Competition, consisting of the acquisition of joint control of the company Alter Enersun Huelva S.L. (hereinafter ALTER HUELVA) by OPSEU Pension Trust Fund (hereinafter OPTRUST), LOMA Management Investment 2015 S.L (hereinafter LOMA) and ALTER Enersun S.A. (hereinafter ALTER) through the vehicle company Bruc Alter Energías renovables S.L. (hereinafter BRUC-ALTER). According to the report and proposal submitted by the Directorate of Competition, the Competition Chamber has resolved, in application of Article 57.2.a) of the aforementioned Law 15/2007, of July 3, to authorize the aforementioned concentration operation.</w:t>
      </w:r>
    </w:p>
    <w:p>
      <w: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Alcalá 47 · 28014 Madrid – Bolivia 56 · 08018 Barcelona · Tel.: 91 4329600 / 93 6036200 ·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