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https://www.cnmc.es/expedientes/c119921</w:t>
      </w:r>
    </w:p>
    <w:p>
      <w:r>
        <w:t>Pages translated : 2</w:t>
      </w:r>
    </w:p>
    <w:p/>
    <w:p>
      <w:r>
        <w:rPr>
          <w:b/>
        </w:rPr>
        <w:t>[Pages 1–2]</w:t>
      </w:r>
    </w:p>
    <w:p>
      <w:r>
        <w:t>RESOLUTION</w:t>
        <w:br/>
        <w:t>CASE FILE C/1199/21 BEAM SUNTORY / MAXXIUM ESPAÑA</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June 1, 2021</w:t>
        <w:br/>
        <w:t xml:space="preserve">The Competition Chamber has analyzed the merger file processed in accordance with Law 15/2007, of July 3, on the Defense of Competition, consisting of the acquisition by BEAM HOLDINGS MANAGEMENT, S.L.U. of exclusive control over MAXXIUM ESPAÑA S.L. (MAXXIUM), over which it already had joint control, through the acquisition of 50% of the shares in the share capital of the latter company from HIGHLAND HOLDCO (EDRINGTON Group). </w:t>
        <w:br/>
        <w:t xml:space="preserve">In accordance with the report and proposal submitted by the Directorate of Competition, the Competition Chamber has resolved, pursuant to Article 57.2.a) of the aforementioned Law 15/2007, of July 3, to authorize the aforementioned merger operation. </w:t>
        <w:br/>
        <w:t xml:space="preserve">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exclusive distribution clause is not ancillary to the operation, and therefore is subject to the general regulations applicable to agreements between companies. All of this is in accordance with what is indicated in the aforementioned report proposal from the Directorate of Competition. </w:t>
        <w:br/>
        <w:t>Alcalá 47 · 28014 Madrid – Bolivia 56 · 08018 Barcelona · Tel.: 91 4329600 / 93 6036200 · www.cnmc.es</w:t>
      </w:r>
    </w:p>
    <w:p>
      <w:r>
        <w:t xml:space="preserve">Communicate this Resolution to the Directorate of Competition of the National Commission of Markets and Competition and notify the interested party, informing them that this concludes the administrative procedure and that a contentious-administrative appeal can be filed against it before the National Court, within two months from the day following its notification.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