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https://www.cnmc.es/expedientes/c120121</w:t>
      </w:r>
    </w:p>
    <w:p>
      <w:r>
        <w:t>Pages translated : 1</w:t>
      </w:r>
    </w:p>
    <w:p/>
    <w:p>
      <w:r>
        <w:rPr>
          <w:b/>
        </w:rPr>
        <w:t>[Pages 1–1]</w:t>
      </w:r>
    </w:p>
    <w:p>
      <w:r>
        <w:t xml:space="preserve">RESOLUTION  </w:t>
        <w:br/>
        <w:t xml:space="preserve">CASE FILE C/1201/21 GLOBAL PIPES / ADEQUA WS SLU  </w:t>
        <w:br/>
        <w:t xml:space="preserve">COUNCIL. COMPETITION CHAMBER  </w:t>
        <w:br/>
        <w:t xml:space="preserve">President  </w:t>
        <w:br/>
        <w:t xml:space="preserve">Ms. Cani Fernández Vicién  </w:t>
        <w:br/>
        <w:t xml:space="preserve">Councilors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In Barcelona, June 29, 2021</w:t>
      </w:r>
    </w:p>
    <w:p>
      <w:r>
        <w:t>The Competition Chamber has analyzed the merger case file processed in accordance with Law 15/2007, of July 3, on the Defense of Competition, consisting of the acquisition of exclusive control over a mixed productive unit ("MIXED PRODUCTIVE UNIT") composed of: (i) certain assets and liabilities owned by Adequa WS, S.L.U. ("ADEQUA") and (ii) certain industrial property rights owned by Corporación Empresarial de Materiales de Construcción, S.A. ("COEMAC") by Global Pipes and Fittings, S.L. (GLOBAL PIPES). In accordance with the report and proposal submitted by the Competition Directorate, the Competition Chamber has resolved, under the application of Article 57.2.e) and 44.b) of the aforementioned Law 15/2007, of July 3, to agree to the filing of the proceedings.</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