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https://www.cnmc.es/expedientes/c120221</w:t>
      </w:r>
    </w:p>
    <w:p>
      <w:r>
        <w:t>Pages translated : 2</w:t>
      </w:r>
    </w:p>
    <w:p/>
    <w:p>
      <w:r>
        <w:rPr>
          <w:b/>
        </w:rPr>
        <w:t>[Pages 1–2]</w:t>
      </w:r>
    </w:p>
    <w:p>
      <w:r>
        <w:t xml:space="preserve">RESOLUTION  </w:t>
        <w:br/>
        <w:t xml:space="preserve">CASE FILE C/1202/21 HEXPOL / UNICA  </w:t>
        <w:br/>
        <w:t xml:space="preserve">COUNCIL. COMPETITION CHAMBER  </w:t>
        <w:br/>
        <w:t xml:space="preserve">President  </w:t>
        <w:br/>
        <w:t xml:space="preserve">Ms. Cani Fernández Vicién  </w:t>
        <w:br/>
        <w:t xml:space="preserve">Councilors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Joaquim Hortalà i Vallvé  </w:t>
        <w:br/>
        <w:t>In Madrid, June 16, 2021</w:t>
      </w:r>
    </w:p>
    <w:p>
      <w:r>
        <w:t>The Competition Chamber has analyzed the merger file processed in accordance with Law 15/2007, of July 3, on the Defense of Competition, consisting of the acquisition by HEXPOL AB of exclusive control over the company UNICA and all its assets. In accordance with the report and proposal submitted by the Competition Directorate, the Competition Chamber has resolved, pursuant to article 57.2.a) of the aforementioned Law 15/2007, of July 3, to authorize the aforementioned merger operation.</w:t>
      </w:r>
    </w:p>
    <w:p>
      <w:r>
        <w:t>Likewise, it is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regarding the duration of the non-compete clause, anything exceeding (2) two years goes beyond what is reasonable and will not be considered ancillary or necessary for the operation, remaining subject to the regulations on agreements between companies. As for its content, any limitation on the acquisition or holding of shares in a competing company for exclusively financial investment purposes, which does not confer directly or indirectly management functions or substantial influence in the same, will not be considered ancillary or necessary for the operation, and therefore will be subject to the regulations on agreements between companies.</w:t>
      </w:r>
    </w:p>
    <w:p>
      <w:r>
        <w:t>On the other hand, taking into account what is established in the aforementioned Communication and in previous precedents, it is considered that, regarding the duration of the non-solicitation clause, anything exceeding (2) two years goes beyond what is reasonable and will not be considered ancillary or necessary for the operation, remaining, therefore, subject to the regulations on agreements between companies. All of this is in accordance with what is indicated in the aforementioned report proposal from the Competition Directorate.</w:t>
      </w:r>
    </w:p>
    <w:p>
      <w:r>
        <w:t xml:space="preserve">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  </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